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3C8" w:rsidRDefault="001447C9">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4b</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w:t>
      </w:r>
      <w:r>
        <w:rPr>
          <w:rFonts w:ascii="Arial" w:hAnsi="Arial" w:cs="Arial" w:hint="eastAsia"/>
          <w:sz w:val="22"/>
        </w:rPr>
        <w:t>1</w:t>
      </w:r>
      <w:r>
        <w:rPr>
          <w:rFonts w:ascii="Arial" w:hAnsi="Arial" w:cs="Arial"/>
          <w:sz w:val="22"/>
        </w:rPr>
        <w:t>02915</w:t>
      </w:r>
    </w:p>
    <w:p w:rsidR="009923C8" w:rsidRDefault="001447C9">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April</w:t>
      </w:r>
      <w:r>
        <w:rPr>
          <w:rFonts w:ascii="Arial" w:hAnsi="Arial" w:cs="Arial"/>
          <w:sz w:val="22"/>
        </w:rPr>
        <w:t xml:space="preserve"> </w:t>
      </w:r>
      <w:r>
        <w:rPr>
          <w:rFonts w:ascii="Arial" w:hAnsi="Arial" w:cs="Arial" w:hint="eastAsia"/>
          <w:sz w:val="22"/>
        </w:rPr>
        <w:t>12</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20</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9923C8" w:rsidRDefault="009923C8">
      <w:pPr>
        <w:pStyle w:val="3GPPHeader"/>
        <w:snapToGrid w:val="0"/>
        <w:rPr>
          <w:rFonts w:cs="Arial"/>
          <w:sz w:val="22"/>
        </w:rPr>
      </w:pPr>
    </w:p>
    <w:p w:rsidR="009923C8" w:rsidRDefault="001447C9">
      <w:pPr>
        <w:pStyle w:val="3GPPHeader"/>
        <w:snapToGrid w:val="0"/>
        <w:rPr>
          <w:rFonts w:cs="Arial"/>
          <w:sz w:val="22"/>
        </w:rPr>
      </w:pPr>
      <w:r>
        <w:rPr>
          <w:rFonts w:cs="Arial"/>
          <w:sz w:val="22"/>
        </w:rPr>
        <w:t>Source:</w:t>
      </w:r>
      <w:r>
        <w:rPr>
          <w:rFonts w:cs="Arial"/>
          <w:sz w:val="22"/>
        </w:rPr>
        <w:tab/>
        <w:t>ZTE</w:t>
      </w:r>
    </w:p>
    <w:p w:rsidR="009923C8" w:rsidRDefault="001447C9">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UL</w:t>
      </w:r>
      <w:r>
        <w:rPr>
          <w:rFonts w:cs="Arial" w:hint="eastAsia"/>
          <w:sz w:val="22"/>
        </w:rPr>
        <w:t xml:space="preserve"> synchronization </w:t>
      </w:r>
      <w:r>
        <w:rPr>
          <w:rFonts w:cs="Arial"/>
          <w:sz w:val="22"/>
        </w:rPr>
        <w:t>for NR</w:t>
      </w:r>
      <w:r>
        <w:rPr>
          <w:rFonts w:cs="Arial" w:hint="eastAsia"/>
          <w:sz w:val="22"/>
        </w:rPr>
        <w:t>-</w:t>
      </w:r>
      <w:r>
        <w:rPr>
          <w:rFonts w:cs="Arial"/>
          <w:sz w:val="22"/>
        </w:rPr>
        <w:t>NTN</w:t>
      </w:r>
    </w:p>
    <w:p w:rsidR="009923C8" w:rsidRDefault="001447C9">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9923C8" w:rsidRDefault="001447C9">
      <w:pPr>
        <w:pBdr>
          <w:bottom w:val="single" w:sz="6" w:space="1" w:color="auto"/>
        </w:pBdr>
        <w:snapToGrid w:val="0"/>
        <w:rPr>
          <w:rFonts w:ascii="Arial" w:hAnsi="Arial"/>
          <w:b/>
        </w:rPr>
      </w:pPr>
      <w:r>
        <w:rPr>
          <w:rFonts w:ascii="Arial" w:hAnsi="Arial"/>
          <w:b/>
        </w:rPr>
        <w:t>Document for:  Discussion</w:t>
      </w:r>
      <w:bookmarkEnd w:id="0"/>
      <w:bookmarkEnd w:id="1"/>
    </w:p>
    <w:p w:rsidR="009923C8" w:rsidRDefault="001447C9">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9923C8" w:rsidRDefault="001447C9">
      <w:pPr>
        <w:spacing w:afterLines="50" w:after="120" w:line="240" w:lineRule="auto"/>
        <w:ind w:firstLine="420"/>
        <w:rPr>
          <w:rFonts w:ascii="Times New Roman" w:hAnsi="Times New Roman"/>
          <w:i/>
          <w:iCs/>
          <w:sz w:val="20"/>
          <w:szCs w:val="20"/>
          <w:highlight w:val="green"/>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UL synchronization for NTN.</w:t>
      </w:r>
    </w:p>
    <w:p w:rsidR="009923C8" w:rsidRDefault="001447C9">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An NTN UE in RRC_CONNECTED state is required to support UE specific TA calculation based at least on its GNSS-acquired position and the serving satellite ephemeris.</w:t>
      </w:r>
    </w:p>
    <w:p w:rsidR="009923C8" w:rsidRDefault="001447C9">
      <w:pPr>
        <w:spacing w:beforeLines="50" w:before="120" w:afterLines="50" w:after="120" w:line="240" w:lineRule="auto"/>
        <w:ind w:leftChars="200" w:left="440"/>
        <w:jc w:val="both"/>
      </w:pPr>
      <w:r>
        <w:rPr>
          <w:rFonts w:ascii="Times New Roman" w:hAnsi="Times New Roman"/>
          <w:i/>
          <w:iCs/>
          <w:sz w:val="20"/>
          <w:szCs w:val="20"/>
        </w:rPr>
        <w:t>FFS: Operation of closed loop and open loop TA control</w:t>
      </w:r>
    </w:p>
    <w:p w:rsidR="009923C8" w:rsidRDefault="001447C9">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TA update in RRC_CONNECTED state, combination of both open (i.e. UE autonomous TA estimation, and common TA estimation) and closed (i.e., received TA commands) control loops shall be supported for NTN.</w:t>
      </w:r>
    </w:p>
    <w:p w:rsidR="009923C8" w:rsidRDefault="001447C9">
      <w:pPr>
        <w:spacing w:beforeLines="50" w:before="120" w:afterLines="50" w:after="120" w:line="240" w:lineRule="auto"/>
        <w:ind w:leftChars="200" w:left="440"/>
        <w:jc w:val="both"/>
      </w:pPr>
      <w:r>
        <w:rPr>
          <w:rFonts w:ascii="Times New Roman" w:hAnsi="Times New Roman"/>
          <w:i/>
          <w:iCs/>
          <w:sz w:val="20"/>
          <w:szCs w:val="20"/>
        </w:rPr>
        <w:t>FFS: Details of the combination of open and closed loop TA control</w:t>
      </w:r>
    </w:p>
    <w:p w:rsidR="009923C8" w:rsidRDefault="001447C9">
      <w:pPr>
        <w:spacing w:beforeLines="50" w:before="120" w:afterLines="50" w:after="120" w:line="240" w:lineRule="auto"/>
        <w:ind w:leftChars="200" w:left="440"/>
        <w:jc w:val="both"/>
        <w:rPr>
          <w:rFonts w:ascii="Times New Roman" w:hAnsi="Times New Roman"/>
          <w:i/>
          <w:iCs/>
          <w:sz w:val="20"/>
          <w:szCs w:val="20"/>
          <w:u w:val="single"/>
        </w:rPr>
      </w:pPr>
      <w:r>
        <w:rPr>
          <w:rFonts w:ascii="Times New Roman" w:hAnsi="Times New Roman"/>
          <w:i/>
          <w:iCs/>
          <w:sz w:val="20"/>
          <w:szCs w:val="20"/>
          <w:u w:val="single"/>
        </w:rPr>
        <w:t>Conclusion:</w:t>
      </w:r>
    </w:p>
    <w:p w:rsidR="009923C8" w:rsidRDefault="001447C9">
      <w:pPr>
        <w:spacing w:beforeLines="50" w:before="120" w:afterLines="50" w:after="120" w:line="240" w:lineRule="auto"/>
        <w:ind w:leftChars="200" w:left="440"/>
        <w:jc w:val="both"/>
      </w:pPr>
      <w:r>
        <w:rPr>
          <w:rFonts w:ascii="Times New Roman" w:hAnsi="Times New Roman"/>
          <w:i/>
          <w:iCs/>
          <w:sz w:val="20"/>
          <w:szCs w:val="20"/>
        </w:rPr>
        <w:t>It is up to RAN4 to decide whether interruptions or measurement gaps are required for GNSS measurements during NTN operation</w:t>
      </w:r>
    </w:p>
    <w:p w:rsidR="009923C8" w:rsidRDefault="001447C9">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 xml:space="preserve">Agreement: </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RAN1 should send an LS to RAN4 with the following questions: </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Question 1: RAN1 would like to ask RAN4, to indicate what are the NTN UL time synchronization requirements?</w:t>
      </w:r>
    </w:p>
    <w:p w:rsidR="009923C8" w:rsidRDefault="001447C9">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For initial access (i.e. PRACH transmission)</w:t>
      </w:r>
    </w:p>
    <w:p w:rsidR="009923C8" w:rsidRDefault="001447C9">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For UL transmissions in RRC Connected State</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Question 2: RAN1 would like to ask RAN4, to indicate what are the NTN UL frequency synchronization requirements?</w:t>
      </w:r>
    </w:p>
    <w:p w:rsidR="009923C8" w:rsidRDefault="001447C9">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For initial access (i.e. PRACH transmission)</w:t>
      </w:r>
    </w:p>
    <w:p w:rsidR="009923C8" w:rsidRDefault="001447C9">
      <w:pPr>
        <w:numPr>
          <w:ilvl w:val="0"/>
          <w:numId w:val="5"/>
        </w:numPr>
        <w:spacing w:after="0" w:line="240" w:lineRule="auto"/>
      </w:pPr>
      <w:r>
        <w:rPr>
          <w:rFonts w:ascii="Times New Roman" w:hAnsi="Times New Roman" w:cs="Times New Roman"/>
          <w:i/>
          <w:iCs/>
          <w:sz w:val="20"/>
          <w:szCs w:val="20"/>
          <w:lang w:eastAsia="ko-KR"/>
        </w:rPr>
        <w:t>For UL transmissions in RRC Connected State</w:t>
      </w:r>
    </w:p>
    <w:p w:rsidR="009923C8" w:rsidRDefault="001447C9">
      <w:pPr>
        <w:spacing w:beforeLines="50" w:before="120" w:afterLines="50" w:after="120" w:line="240" w:lineRule="auto"/>
        <w:ind w:leftChars="200" w:left="440"/>
        <w:jc w:val="both"/>
        <w:rPr>
          <w:rFonts w:ascii="Times New Roman" w:hAnsi="Times New Roman"/>
          <w:i/>
          <w:iCs/>
          <w:sz w:val="20"/>
          <w:szCs w:val="20"/>
          <w:u w:val="single"/>
        </w:rPr>
      </w:pPr>
      <w:r>
        <w:rPr>
          <w:rFonts w:ascii="Times New Roman" w:hAnsi="Times New Roman"/>
          <w:i/>
          <w:iCs/>
          <w:sz w:val="20"/>
          <w:szCs w:val="20"/>
          <w:u w:val="single"/>
        </w:rPr>
        <w:t>Conclusion:</w:t>
      </w:r>
    </w:p>
    <w:p w:rsidR="009923C8" w:rsidRDefault="001447C9">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If DL frequency compensation for the service link Doppler is applied, indication of the amount of frequency compensation is necessary.</w:t>
      </w:r>
    </w:p>
    <w:p w:rsidR="009923C8" w:rsidRDefault="001447C9">
      <w:pPr>
        <w:numPr>
          <w:ilvl w:val="0"/>
          <w:numId w:val="5"/>
        </w:numPr>
        <w:spacing w:after="0" w:line="240" w:lineRule="auto"/>
      </w:pPr>
      <w:r>
        <w:rPr>
          <w:rFonts w:ascii="Times New Roman" w:hAnsi="Times New Roman" w:cs="Times New Roman"/>
          <w:i/>
          <w:iCs/>
          <w:sz w:val="20"/>
          <w:szCs w:val="20"/>
          <w:lang w:eastAsia="ko-KR"/>
        </w:rPr>
        <w:t>FFS: support of DL frequency compensation for the service link Doppler.</w:t>
      </w:r>
    </w:p>
    <w:p w:rsidR="009923C8" w:rsidRDefault="001447C9">
      <w:pPr>
        <w:spacing w:beforeLines="50" w:before="120" w:afterLines="50" w:after="120" w:line="240" w:lineRule="auto"/>
        <w:ind w:leftChars="200" w:left="440"/>
        <w:jc w:val="both"/>
        <w:rPr>
          <w:rFonts w:ascii="Times New Roman" w:hAnsi="Times New Roman"/>
          <w:i/>
          <w:iCs/>
          <w:sz w:val="20"/>
          <w:szCs w:val="20"/>
          <w:highlight w:val="green"/>
        </w:rPr>
      </w:pPr>
      <w:bookmarkStart w:id="3" w:name="_Hlk63432430"/>
      <w:r>
        <w:rPr>
          <w:rFonts w:ascii="Times New Roman" w:hAnsi="Times New Roman"/>
          <w:i/>
          <w:iCs/>
          <w:sz w:val="20"/>
          <w:szCs w:val="20"/>
          <w:highlight w:val="green"/>
        </w:rPr>
        <w:t>Agreement:</w:t>
      </w:r>
    </w:p>
    <w:p w:rsidR="009923C8" w:rsidRDefault="001447C9">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RAN1 to support satellite ephemeris broadcast based at least on one of the following format options:</w:t>
      </w:r>
    </w:p>
    <w:p w:rsidR="009923C8" w:rsidRDefault="001447C9">
      <w:pPr>
        <w:numPr>
          <w:ilvl w:val="1"/>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Option 1: Ephemeris format based on satellite position and velocity state vectors</w:t>
      </w:r>
    </w:p>
    <w:p w:rsidR="009923C8" w:rsidRDefault="001447C9">
      <w:pPr>
        <w:numPr>
          <w:ilvl w:val="2"/>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FFS: Details on state vectors formats </w:t>
      </w:r>
    </w:p>
    <w:p w:rsidR="009923C8" w:rsidRDefault="001447C9">
      <w:pPr>
        <w:numPr>
          <w:ilvl w:val="2"/>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Details on time reference provisioning/format</w:t>
      </w:r>
    </w:p>
    <w:p w:rsidR="009923C8" w:rsidRDefault="001447C9">
      <w:pPr>
        <w:numPr>
          <w:ilvl w:val="1"/>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Option 2: Ephemeris format based on orbital elements</w:t>
      </w:r>
    </w:p>
    <w:p w:rsidR="009923C8" w:rsidRDefault="001447C9">
      <w:pPr>
        <w:numPr>
          <w:ilvl w:val="2"/>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FFS: Details on orbital elements formats </w:t>
      </w:r>
    </w:p>
    <w:p w:rsidR="009923C8" w:rsidRDefault="001447C9">
      <w:pPr>
        <w:numPr>
          <w:ilvl w:val="2"/>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Details on time reference provisioning/format</w:t>
      </w:r>
    </w:p>
    <w:p w:rsidR="009923C8" w:rsidRDefault="001447C9">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Whether down-selection is needed or both options are supported</w:t>
      </w:r>
      <w:bookmarkEnd w:id="3"/>
    </w:p>
    <w:p w:rsidR="009923C8" w:rsidRDefault="001447C9">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lastRenderedPageBreak/>
        <w:t xml:space="preserve">In this contribution, </w:t>
      </w:r>
      <w:r>
        <w:rPr>
          <w:rFonts w:ascii="Times New Roman" w:hAnsi="Times New Roman" w:hint="eastAsia"/>
          <w:sz w:val="20"/>
          <w:szCs w:val="20"/>
        </w:rPr>
        <w:t xml:space="preserve">the remaining issues </w:t>
      </w:r>
      <w:r>
        <w:rPr>
          <w:rFonts w:ascii="Times New Roman" w:hAnsi="Times New Roman"/>
          <w:sz w:val="20"/>
          <w:szCs w:val="20"/>
        </w:rPr>
        <w:t xml:space="preserve">for UL synchronization are elaborated with corresponding analysis and simulation results. </w:t>
      </w:r>
    </w:p>
    <w:p w:rsidR="009923C8" w:rsidRDefault="001447C9">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timing synchronization</w:t>
      </w:r>
    </w:p>
    <w:p w:rsidR="009923C8" w:rsidRDefault="001447C9">
      <w:pPr>
        <w:pStyle w:val="2"/>
        <w:numPr>
          <w:ilvl w:val="1"/>
          <w:numId w:val="6"/>
        </w:numPr>
        <w:rPr>
          <w:rFonts w:ascii="Times New Roman" w:eastAsia="宋体" w:hAnsi="Times New Roman" w:cs="Times New Roman"/>
          <w:sz w:val="24"/>
          <w:szCs w:val="24"/>
          <w:lang w:val="en-US"/>
        </w:rPr>
      </w:pPr>
      <w:bookmarkStart w:id="4" w:name="_Ref27980"/>
      <w:r>
        <w:rPr>
          <w:rFonts w:ascii="Times New Roman" w:eastAsia="宋体" w:hAnsi="Times New Roman" w:cs="Times New Roman"/>
          <w:sz w:val="24"/>
          <w:szCs w:val="24"/>
          <w:lang w:val="en-US"/>
        </w:rPr>
        <w:t>Indication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bookmarkEnd w:id="4"/>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w:t>
      </w:r>
      <w:r>
        <w:rPr>
          <w:rFonts w:ascii="Times New Roman" w:eastAsia="宋体" w:hAnsi="Times New Roman" w:cs="Times New Roman" w:hint="eastAsia"/>
          <w:sz w:val="20"/>
          <w:szCs w:val="20"/>
        </w:rPr>
        <w:t xml:space="preserve">discussion in RAN1#104e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 expression of TA applied by an NR NTN UE in RRC_IDLE/INACTIVE and RRC_CONNECTED is converging to the following equation:</w:t>
      </w:r>
    </w:p>
    <w:p w:rsidR="009923C8" w:rsidRDefault="001447C9">
      <w:pPr>
        <w:spacing w:after="240" w:line="240" w:lineRule="auto"/>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841" w:dyaOrig="377" w14:anchorId="5EA12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8.75pt" o:ole="">
            <v:imagedata r:id="rId9" o:title=""/>
          </v:shape>
          <o:OLEObject Type="Embed" ProgID="Equation.KSEE3" ShapeID="_x0000_i1025" DrawAspect="Content" ObjectID="_1679241219" r:id="rId10"/>
        </w:object>
      </w:r>
      <w:r>
        <w:rPr>
          <w:rFonts w:ascii="Cambria Math" w:eastAsia="宋体" w:hAnsi="Cambria Math" w:cs="Times New Roman" w:hint="eastAsia"/>
          <w:sz w:val="20"/>
          <w:szCs w:val="20"/>
        </w:rPr>
        <w:t>,</w:t>
      </w:r>
    </w:p>
    <w:p w:rsidR="009923C8" w:rsidRDefault="001447C9">
      <w:pPr>
        <w:spacing w:before="120" w:after="180" w:line="240" w:lineRule="auto"/>
        <w:ind w:firstLine="420"/>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Where:</w:t>
      </w:r>
    </w:p>
    <w:p w:rsidR="009923C8" w:rsidRDefault="001447C9">
      <w:pPr>
        <w:spacing w:before="120" w:after="120"/>
        <w:ind w:leftChars="100" w:left="580" w:hanging="360"/>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 xml:space="preserve">  </w:t>
      </w:r>
      <w:r>
        <w:rPr>
          <w:rFonts w:ascii="Times New Roman" w:eastAsia="宋体" w:hAnsi="Times New Roman" w:cs="Times New Roman" w:hint="eastAsia"/>
          <w:position w:val="-10"/>
          <w:sz w:val="20"/>
          <w:szCs w:val="20"/>
        </w:rPr>
        <w:object w:dxaOrig="421" w:dyaOrig="343" w14:anchorId="28D4B3AE">
          <v:shape id="_x0000_i1026" type="#_x0000_t75" style="width:21.25pt;height:17.05pt" o:ole="">
            <v:imagedata r:id="rId11" o:title=""/>
          </v:shape>
          <o:OLEObject Type="Embed" ProgID="Equation.KSEE3" ShapeID="_x0000_i1026" DrawAspect="Content" ObjectID="_1679241220" r:id="rId12"/>
        </w:objec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lang w:eastAsia="ko-KR"/>
        </w:rPr>
        <w:t xml:space="preserve">and </w:t>
      </w:r>
      <w:r>
        <w:rPr>
          <w:rFonts w:ascii="Times New Roman" w:eastAsia="宋体" w:hAnsi="Times New Roman" w:cs="Times New Roman" w:hint="eastAsia"/>
          <w:position w:val="-14"/>
          <w:sz w:val="20"/>
          <w:szCs w:val="20"/>
        </w:rPr>
        <w:object w:dxaOrig="775" w:dyaOrig="377" w14:anchorId="600A251A">
          <v:shape id="_x0000_i1027" type="#_x0000_t75" style="width:38.7pt;height:18.75pt" o:ole="">
            <v:imagedata r:id="rId13" o:title=""/>
          </v:shape>
          <o:OLEObject Type="Embed" ProgID="Equation.KSEE3" ShapeID="_x0000_i1027" DrawAspect="Content" ObjectID="_1679241221" r:id="rId14"/>
        </w:object>
      </w:r>
      <w:r>
        <w:rPr>
          <w:rFonts w:ascii="Times New Roman" w:eastAsia="宋体" w:hAnsi="Times New Roman" w:cs="Times New Roman"/>
          <w:sz w:val="20"/>
          <w:szCs w:val="20"/>
          <w:lang w:eastAsia="ko-KR"/>
        </w:rPr>
        <w:t xml:space="preserve"> are defined as in Release-16.</w:t>
      </w:r>
    </w:p>
    <w:p w:rsidR="009923C8" w:rsidRDefault="001447C9">
      <w:pPr>
        <w:spacing w:before="120" w:after="120"/>
        <w:ind w:leftChars="100" w:left="580" w:hanging="360"/>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 xml:space="preserve">  </w:t>
      </w:r>
      <w:r>
        <w:rPr>
          <w:rFonts w:ascii="Times New Roman" w:eastAsia="宋体" w:hAnsi="Times New Roman" w:cs="Times New Roman" w:hint="eastAsia"/>
          <w:position w:val="-14"/>
          <w:sz w:val="20"/>
          <w:szCs w:val="20"/>
        </w:rPr>
        <w:object w:dxaOrig="1185" w:dyaOrig="377" w14:anchorId="18579F0C">
          <v:shape id="_x0000_i1028" type="#_x0000_t75" style="width:59.5pt;height:18.75pt" o:ole="">
            <v:imagedata r:id="rId15" o:title=""/>
          </v:shape>
          <o:OLEObject Type="Embed" ProgID="Equation.KSEE3" ShapeID="_x0000_i1028" DrawAspect="Content" ObjectID="_1679241222" r:id="rId16"/>
        </w:object>
      </w:r>
      <w:r>
        <w:rPr>
          <w:rFonts w:ascii="Times New Roman" w:eastAsia="宋体" w:hAnsi="Times New Roman" w:cs="Times New Roman"/>
          <w:sz w:val="20"/>
          <w:szCs w:val="20"/>
          <w:lang w:eastAsia="ko-KR"/>
        </w:rPr>
        <w:t> is UE self-estimated TA</w:t>
      </w:r>
      <w:r>
        <w:rPr>
          <w:rFonts w:ascii="Times New Roman" w:eastAsia="宋体" w:hAnsi="Times New Roman" w:cs="Times New Roman" w:hint="eastAsia"/>
          <w:sz w:val="20"/>
          <w:szCs w:val="20"/>
        </w:rPr>
        <w:t>.</w:t>
      </w:r>
      <w:r>
        <w:rPr>
          <w:rFonts w:ascii="Times New Roman" w:eastAsia="宋体" w:hAnsi="Times New Roman" w:cs="Times New Roman"/>
          <w:sz w:val="20"/>
          <w:szCs w:val="20"/>
          <w:lang w:eastAsia="ko-KR"/>
        </w:rPr>
        <w:t xml:space="preserve"> </w:t>
      </w:r>
    </w:p>
    <w:p w:rsidR="009923C8" w:rsidRDefault="001447C9">
      <w:pPr>
        <w:spacing w:before="120" w:after="120"/>
        <w:ind w:leftChars="100" w:left="580" w:hanging="360"/>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 xml:space="preserve">  </w:t>
      </w:r>
      <w:r>
        <w:rPr>
          <w:rFonts w:ascii="Times New Roman" w:eastAsia="宋体" w:hAnsi="Times New Roman" w:cs="Times New Roman" w:hint="eastAsia"/>
          <w:position w:val="-14"/>
          <w:sz w:val="20"/>
          <w:szCs w:val="20"/>
        </w:rPr>
        <w:object w:dxaOrig="942" w:dyaOrig="377" w14:anchorId="479F314C">
          <v:shape id="_x0000_i1029" type="#_x0000_t75" style="width:47.05pt;height:18.75pt" o:ole="">
            <v:imagedata r:id="rId17" o:title=""/>
          </v:shape>
          <o:OLEObject Type="Embed" ProgID="Equation.KSEE3" ShapeID="_x0000_i1029" DrawAspect="Content" ObjectID="_1679241223" r:id="rId18"/>
        </w:object>
      </w:r>
      <w:r>
        <w:rPr>
          <w:rFonts w:ascii="Times New Roman" w:eastAsia="宋体" w:hAnsi="Times New Roman" w:cs="Times New Roman"/>
          <w:sz w:val="20"/>
          <w:szCs w:val="20"/>
          <w:lang w:val="en-GB" w:eastAsia="ko-KR"/>
        </w:rPr>
        <w:t xml:space="preserve"> </w:t>
      </w:r>
      <w:r>
        <w:rPr>
          <w:rFonts w:ascii="Times New Roman" w:eastAsia="宋体" w:hAnsi="Times New Roman" w:cs="Times New Roman"/>
          <w:sz w:val="20"/>
          <w:szCs w:val="20"/>
          <w:lang w:eastAsia="ko-KR"/>
        </w:rPr>
        <w:t>is network-controlled common TA, and may include any timing offset considered necessary by the network.</w:t>
      </w:r>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main </w:t>
      </w:r>
      <w:r>
        <w:rPr>
          <w:rFonts w:ascii="Times New Roman" w:eastAsia="宋体" w:hAnsi="Times New Roman" w:cs="Times New Roman"/>
          <w:sz w:val="20"/>
          <w:szCs w:val="20"/>
        </w:rPr>
        <w:t>controversial</w:t>
      </w:r>
      <w:r>
        <w:rPr>
          <w:rFonts w:ascii="Times New Roman" w:eastAsia="宋体" w:hAnsi="Times New Roman" w:cs="Times New Roman" w:hint="eastAsia"/>
          <w:sz w:val="20"/>
          <w:szCs w:val="20"/>
        </w:rPr>
        <w:t xml:space="preserve"> </w:t>
      </w:r>
      <w:r w:rsidR="006E409B">
        <w:rPr>
          <w:rFonts w:ascii="Times New Roman" w:eastAsia="宋体" w:hAnsi="Times New Roman" w:cs="Times New Roman"/>
          <w:sz w:val="20"/>
          <w:szCs w:val="20"/>
        </w:rPr>
        <w:t>part</w:t>
      </w:r>
      <w:r>
        <w:rPr>
          <w:rFonts w:ascii="Times New Roman" w:eastAsia="宋体" w:hAnsi="Times New Roman" w:cs="Times New Roman" w:hint="eastAsia"/>
          <w:sz w:val="20"/>
          <w:szCs w:val="20"/>
        </w:rPr>
        <w:t xml:space="preserve"> </w:t>
      </w:r>
      <w:r w:rsidR="006E409B">
        <w:rPr>
          <w:rFonts w:ascii="Times New Roman" w:eastAsia="宋体" w:hAnsi="Times New Roman" w:cs="Times New Roman"/>
          <w:sz w:val="20"/>
          <w:szCs w:val="20"/>
        </w:rPr>
        <w:t>is</w:t>
      </w:r>
      <w:r>
        <w:rPr>
          <w:rFonts w:ascii="Times New Roman" w:eastAsia="宋体" w:hAnsi="Times New Roman" w:cs="Times New Roman" w:hint="eastAsia"/>
          <w:sz w:val="20"/>
          <w:szCs w:val="20"/>
        </w:rPr>
        <w:t xml:space="preserve"> the signaling of common TA</w:t>
      </w:r>
      <w:r>
        <w:rPr>
          <w:rFonts w:ascii="Times New Roman" w:eastAsia="宋体" w:hAnsi="Times New Roman" w:cs="Times New Roman"/>
          <w:sz w:val="20"/>
          <w:szCs w:val="20"/>
        </w:rPr>
        <w:t xml:space="preserve"> including the value and whether the indication always exists. </w:t>
      </w:r>
    </w:p>
    <w:p w:rsidR="009923C8" w:rsidRDefault="001447C9">
      <w:pPr>
        <w:pStyle w:val="ad"/>
        <w:spacing w:beforeLines="50" w:before="120" w:afterLines="50" w:after="120" w:line="240" w:lineRule="auto"/>
        <w:ind w:leftChars="200" w:left="440" w:firstLineChars="0" w:firstLine="0"/>
        <w:jc w:val="both"/>
      </w:pPr>
      <w:r>
        <w:rPr>
          <w:rFonts w:ascii="Times New Roman" w:eastAsia="宋体" w:hAnsi="Times New Roman" w:cs="Times New Roman"/>
          <w:sz w:val="20"/>
          <w:szCs w:val="20"/>
        </w:rPr>
        <w:t>W.r.t this issue</w:t>
      </w:r>
      <w:r>
        <w:rPr>
          <w:rFonts w:ascii="Times New Roman" w:eastAsia="宋体" w:hAnsi="Times New Roman" w:cs="Times New Roman" w:hint="eastAsia"/>
          <w:sz w:val="20"/>
          <w:szCs w:val="20"/>
        </w:rPr>
        <w:t xml:space="preserve">, it should be clarified that </w:t>
      </w:r>
      <w:r>
        <w:rPr>
          <w:rFonts w:ascii="Times New Roman" w:eastAsia="宋体" w:hAnsi="Times New Roman" w:cs="Times New Roman"/>
          <w:sz w:val="20"/>
          <w:szCs w:val="20"/>
        </w:rPr>
        <w:t xml:space="preserve">all </w:t>
      </w:r>
      <w:r>
        <w:rPr>
          <w:rFonts w:ascii="Times New Roman" w:eastAsia="宋体" w:hAnsi="Times New Roman" w:cs="Times New Roman" w:hint="eastAsia"/>
          <w:sz w:val="20"/>
          <w:szCs w:val="20"/>
        </w:rPr>
        <w:t>case</w:t>
      </w:r>
      <w:r>
        <w:rPr>
          <w:rFonts w:ascii="Times New Roman" w:eastAsia="宋体" w:hAnsi="Times New Roman" w:cs="Times New Roman"/>
          <w:sz w:val="20"/>
          <w:szCs w:val="20"/>
        </w:rPr>
        <w:t xml:space="preserve">s </w:t>
      </w:r>
      <w:r>
        <w:rPr>
          <w:rFonts w:ascii="Times New Roman" w:eastAsia="宋体" w:hAnsi="Times New Roman" w:cs="Times New Roman" w:hint="eastAsia"/>
          <w:sz w:val="20"/>
          <w:szCs w:val="20"/>
        </w:rPr>
        <w:t>where DL &amp; UL timing align at satellite</w:t>
      </w:r>
      <w:r>
        <w:rPr>
          <w:rFonts w:ascii="Times New Roman" w:eastAsia="宋体" w:hAnsi="Times New Roman" w:cs="Times New Roman"/>
          <w:sz w:val="20"/>
          <w:szCs w:val="20"/>
        </w:rPr>
        <w:t xml:space="preserve"> or BS</w:t>
      </w:r>
      <w:r>
        <w:rPr>
          <w:rFonts w:ascii="Times New Roman" w:eastAsia="宋体" w:hAnsi="Times New Roman" w:cs="Times New Roman" w:hint="eastAsia"/>
          <w:sz w:val="20"/>
          <w:szCs w:val="20"/>
        </w:rPr>
        <w:t xml:space="preserve"> can be covered by above expression </w:t>
      </w:r>
      <w:r w:rsidR="00CA0D4F">
        <w:rPr>
          <w:rFonts w:ascii="Times New Roman" w:eastAsia="宋体" w:hAnsi="Times New Roman" w:cs="Times New Roman"/>
          <w:sz w:val="20"/>
          <w:szCs w:val="20"/>
        </w:rPr>
        <w:t>with</w:t>
      </w:r>
      <w:r>
        <w:rPr>
          <w:rFonts w:ascii="Times New Roman" w:eastAsia="宋体" w:hAnsi="Times New Roman" w:cs="Times New Roman" w:hint="eastAsia"/>
          <w:sz w:val="20"/>
          <w:szCs w:val="20"/>
        </w:rPr>
        <w:t xml:space="preserve"> simply </w:t>
      </w:r>
      <w:r>
        <w:rPr>
          <w:rFonts w:ascii="Times New Roman" w:eastAsia="宋体" w:hAnsi="Times New Roman" w:cs="Times New Roman"/>
          <w:sz w:val="20"/>
          <w:szCs w:val="20"/>
        </w:rPr>
        <w:t>adjustment on the value of common TA, which is up to the network based their own implementation.</w:t>
      </w:r>
      <w:r>
        <w:rPr>
          <w:rFonts w:ascii="Times New Roman" w:eastAsia="宋体" w:hAnsi="Times New Roman" w:cs="Times New Roman" w:hint="eastAsia"/>
          <w:sz w:val="20"/>
          <w:szCs w:val="20"/>
        </w:rPr>
        <w:t xml:space="preserve"> Therefore, there is no need to </w:t>
      </w:r>
      <w:r>
        <w:rPr>
          <w:rFonts w:ascii="Times New Roman" w:eastAsia="宋体" w:hAnsi="Times New Roman" w:cs="Times New Roman"/>
          <w:sz w:val="20"/>
          <w:szCs w:val="20"/>
        </w:rPr>
        <w:t xml:space="preserve">define other </w:t>
      </w:r>
      <w:r>
        <w:rPr>
          <w:rFonts w:ascii="Times New Roman" w:eastAsia="宋体" w:hAnsi="Times New Roman" w:cs="Times New Roman" w:hint="eastAsia"/>
          <w:sz w:val="20"/>
          <w:szCs w:val="20"/>
        </w:rPr>
        <w:t>case where common TA is not indicated.</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The indication of common TA should always be assumed.</w:t>
      </w:r>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w:t>
      </w:r>
      <w:r>
        <w:rPr>
          <w:rFonts w:ascii="Times New Roman" w:eastAsia="宋体" w:hAnsi="Times New Roman" w:cs="Times New Roman" w:hint="eastAsia"/>
          <w:sz w:val="20"/>
          <w:szCs w:val="20"/>
        </w:rPr>
        <w:t>the signaling of common TA</w:t>
      </w:r>
      <w:r>
        <w:rPr>
          <w:rFonts w:ascii="Times New Roman" w:eastAsia="宋体" w:hAnsi="Times New Roman" w:cs="Times New Roman"/>
          <w:sz w:val="20"/>
          <w:szCs w:val="20"/>
        </w:rPr>
        <w:t xml:space="preserve">, within the service of one cell, </w:t>
      </w:r>
      <w:r>
        <w:rPr>
          <w:rFonts w:ascii="Times New Roman" w:eastAsia="宋体" w:hAnsi="Times New Roman" w:cs="Times New Roman" w:hint="eastAsia"/>
          <w:sz w:val="20"/>
          <w:szCs w:val="20"/>
        </w:rPr>
        <w:t>different numerologies may be supported simultaneously. UE with larger SCS could have shorter CP and thus more sensitive to TA variance. Therefore, common TA can be broadcast in SIB but with small granularity, e.g.</w:t>
      </w:r>
      <w:r>
        <w:rPr>
          <w:rFonts w:ascii="Times New Roman" w:eastAsia="宋体" w:hAnsi="Times New Roman" w:cs="Times New Roman"/>
          <w:sz w:val="20"/>
          <w:szCs w:val="20"/>
        </w:rPr>
        <w:t>,</w:t>
      </w:r>
      <w:r>
        <w:rPr>
          <w:rFonts w:ascii="Times New Roman" w:eastAsia="宋体" w:hAnsi="Times New Roman" w:hint="eastAsia"/>
          <w:i/>
          <w:position w:val="-12"/>
          <w:sz w:val="20"/>
          <w:szCs w:val="20"/>
        </w:rPr>
        <w:object w:dxaOrig="255" w:dyaOrig="366" w14:anchorId="05009825">
          <v:shape id="_x0000_i1030" type="#_x0000_t75" style="width:12.5pt;height:18.3pt" o:ole="">
            <v:imagedata r:id="rId19" o:title=""/>
          </v:shape>
          <o:OLEObject Type="Embed" ProgID="Equation.KSEE3" ShapeID="_x0000_i1030" DrawAspect="Content" ObjectID="_1679241224" r:id="rId20"/>
        </w:object>
      </w:r>
      <w:r>
        <w:rPr>
          <w:rFonts w:ascii="Times New Roman" w:eastAsia="宋体" w:hAnsi="Times New Roman" w:cs="Times New Roman" w:hint="eastAsia"/>
          <w:sz w:val="20"/>
          <w:szCs w:val="20"/>
        </w:rPr>
        <w:t xml:space="preserve"> to make common TA compatible to all types of UEs. </w:t>
      </w:r>
      <w:r>
        <w:rPr>
          <w:rFonts w:ascii="Times New Roman" w:eastAsia="宋体" w:hAnsi="Times New Roman" w:cs="Times New Roman"/>
          <w:sz w:val="20"/>
          <w:szCs w:val="20"/>
        </w:rPr>
        <w:t xml:space="preserve">With consideration on the tradeoff between accuracy and signalling overhead, </w:t>
      </w:r>
      <w:r>
        <w:rPr>
          <w:rFonts w:ascii="Times New Roman" w:eastAsia="宋体" w:hAnsi="Times New Roman" w:cs="Times New Roman" w:hint="eastAsia"/>
          <w:sz w:val="20"/>
          <w:szCs w:val="20"/>
        </w:rPr>
        <w:t xml:space="preserve">the required bit number is evaluated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_Ref16918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9923C8" w:rsidRDefault="001447C9">
      <w:pPr>
        <w:pStyle w:val="a3"/>
        <w:spacing w:beforeLines="50" w:before="120" w:afterLines="50"/>
        <w:ind w:leftChars="200" w:left="440"/>
        <w:rPr>
          <w:b w:val="0"/>
          <w:lang w:val="en-US"/>
        </w:rPr>
      </w:pPr>
      <w:bookmarkStart w:id="5"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5"/>
      <w:r>
        <w:rPr>
          <w:rFonts w:hint="eastAsia"/>
          <w:b w:val="0"/>
          <w:lang w:val="en-US"/>
        </w:rPr>
        <w:t xml:space="preserve"> Required bit number for common TA expression</w:t>
      </w:r>
    </w:p>
    <w:tbl>
      <w:tblPr>
        <w:tblStyle w:val="aa"/>
        <w:tblW w:w="7520" w:type="dxa"/>
        <w:jc w:val="center"/>
        <w:tblLayout w:type="fixed"/>
        <w:tblLook w:val="04A0" w:firstRow="1" w:lastRow="0" w:firstColumn="1" w:lastColumn="0" w:noHBand="0" w:noVBand="1"/>
      </w:tblPr>
      <w:tblGrid>
        <w:gridCol w:w="1880"/>
        <w:gridCol w:w="1880"/>
        <w:gridCol w:w="1880"/>
        <w:gridCol w:w="1880"/>
      </w:tblGrid>
      <w:tr w:rsidR="009923C8">
        <w:trPr>
          <w:trHeight w:val="222"/>
          <w:jc w:val="center"/>
        </w:trPr>
        <w:tc>
          <w:tcPr>
            <w:tcW w:w="1880" w:type="dxa"/>
          </w:tcPr>
          <w:p w:rsidR="009923C8" w:rsidRDefault="009923C8">
            <w:pPr>
              <w:rPr>
                <w:rFonts w:ascii="Times New Roman" w:eastAsia="宋体" w:hAnsi="Times New Roman" w:cs="Times New Roman"/>
                <w:sz w:val="20"/>
                <w:szCs w:val="20"/>
              </w:rPr>
            </w:pP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9923C8">
        <w:trPr>
          <w:trHeight w:val="228"/>
          <w:jc w:val="center"/>
        </w:trPr>
        <w:tc>
          <w:tcPr>
            <w:tcW w:w="1880" w:type="dxa"/>
          </w:tcPr>
          <w:p w:rsidR="009923C8" w:rsidRDefault="001447C9">
            <w:pPr>
              <w:rPr>
                <w:rFonts w:ascii="Times New Roman" w:eastAsia="宋体" w:hAnsi="Times New Roman" w:cs="Times New Roman"/>
                <w:sz w:val="20"/>
                <w:szCs w:val="20"/>
              </w:rPr>
            </w:pPr>
            <w:r>
              <w:rPr>
                <w:rFonts w:ascii="Times New Roman" w:eastAsia="宋体" w:hAnsi="Times New Roman" w:cs="Times New Roman" w:hint="eastAsia"/>
                <w:sz w:val="20"/>
                <w:szCs w:val="20"/>
              </w:rPr>
              <w:t>Upper bound of RTT</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12.88 ms</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20.88 ms</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270.54 ms</w:t>
            </w:r>
          </w:p>
        </w:tc>
      </w:tr>
      <w:tr w:rsidR="009923C8">
        <w:trPr>
          <w:trHeight w:val="49"/>
          <w:jc w:val="center"/>
        </w:trPr>
        <w:tc>
          <w:tcPr>
            <w:tcW w:w="1880" w:type="dxa"/>
          </w:tcPr>
          <w:p w:rsidR="009923C8" w:rsidRDefault="001447C9">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(granularity is </w:t>
            </w:r>
            <w:r>
              <w:rPr>
                <w:rFonts w:ascii="Times New Roman" w:eastAsia="宋体" w:hAnsi="Times New Roman" w:hint="eastAsia"/>
                <w:i/>
                <w:position w:val="-12"/>
                <w:sz w:val="20"/>
                <w:szCs w:val="20"/>
              </w:rPr>
              <w:object w:dxaOrig="255" w:dyaOrig="354" w14:anchorId="68851788">
                <v:shape id="_x0000_i1031" type="#_x0000_t75" style="width:12.5pt;height:17.5pt" o:ole="">
                  <v:imagedata r:id="rId19" o:title=""/>
                </v:shape>
                <o:OLEObject Type="Embed" ProgID="Equation.KSEE3" ShapeID="_x0000_i1031" DrawAspect="Content" ObjectID="_1679241225" r:id="rId21"/>
              </w:object>
            </w:r>
            <w:r>
              <w:rPr>
                <w:rFonts w:ascii="Times New Roman" w:eastAsia="宋体" w:hAnsi="Times New Roman" w:cs="Times New Roman" w:hint="eastAsia"/>
                <w:sz w:val="20"/>
                <w:szCs w:val="20"/>
              </w:rPr>
              <w:t>)</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880" w:type="dxa"/>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29</w:t>
            </w:r>
          </w:p>
        </w:tc>
      </w:tr>
      <w:tr w:rsidR="009923C8">
        <w:trPr>
          <w:trHeight w:val="582"/>
          <w:jc w:val="center"/>
        </w:trPr>
        <w:tc>
          <w:tcPr>
            <w:tcW w:w="1880" w:type="dxa"/>
          </w:tcPr>
          <w:p w:rsidR="009923C8" w:rsidRDefault="001447C9">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(granularity is </w:t>
            </w:r>
            <w:r>
              <w:rPr>
                <w:rFonts w:ascii="Times New Roman" w:eastAsia="宋体" w:hAnsi="Times New Roman" w:hint="eastAsia"/>
                <w:i/>
                <w:position w:val="-12"/>
                <w:sz w:val="20"/>
                <w:szCs w:val="20"/>
              </w:rPr>
              <w:object w:dxaOrig="1207" w:dyaOrig="354" w14:anchorId="77AA1722">
                <v:shape id="_x0000_i1032" type="#_x0000_t75" style="width:59.95pt;height:17.5pt" o:ole="">
                  <v:imagedata r:id="rId22" o:title=""/>
                </v:shape>
                <o:OLEObject Type="Embed" ProgID="Equation.KSEE3" ShapeID="_x0000_i1032" DrawAspect="Content" ObjectID="_1679241226" r:id="rId23"/>
              </w:object>
            </w:r>
            <w:r>
              <w:rPr>
                <w:rFonts w:ascii="Times New Roman" w:eastAsia="宋体" w:hAnsi="Times New Roman" w:cs="Times New Roman" w:hint="eastAsia"/>
                <w:sz w:val="20"/>
                <w:szCs w:val="20"/>
              </w:rPr>
              <w:t>)</w:t>
            </w:r>
          </w:p>
        </w:tc>
        <w:tc>
          <w:tcPr>
            <w:tcW w:w="1880" w:type="dxa"/>
            <w:vAlign w:val="center"/>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w:t>
            </w:r>
          </w:p>
        </w:tc>
        <w:tc>
          <w:tcPr>
            <w:tcW w:w="1880" w:type="dxa"/>
            <w:vAlign w:val="center"/>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19</w:t>
            </w:r>
          </w:p>
        </w:tc>
        <w:tc>
          <w:tcPr>
            <w:tcW w:w="1880" w:type="dxa"/>
            <w:vAlign w:val="center"/>
          </w:tcPr>
          <w:p w:rsidR="009923C8" w:rsidRDefault="001447C9">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w:t>
            </w:r>
          </w:p>
        </w:tc>
      </w:tr>
    </w:tbl>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existing design, during the initial access stage, </w:t>
      </w:r>
      <w:r>
        <w:rPr>
          <w:rFonts w:ascii="Times New Roman" w:eastAsia="宋体" w:hAnsi="Times New Roman" w:cs="Times New Roman" w:hint="eastAsia"/>
          <w:sz w:val="20"/>
          <w:szCs w:val="20"/>
        </w:rPr>
        <w:t xml:space="preserve">the maximum supported SCS is </w:t>
      </w:r>
      <w:r>
        <w:rPr>
          <w:rFonts w:ascii="Times New Roman" w:eastAsia="宋体" w:hAnsi="Times New Roman" w:hint="eastAsia"/>
          <w:i/>
          <w:position w:val="-6"/>
          <w:sz w:val="20"/>
          <w:szCs w:val="20"/>
        </w:rPr>
        <w:object w:dxaOrig="1108" w:dyaOrig="299" w14:anchorId="2FF63250">
          <v:shape id="_x0000_i1033" type="#_x0000_t75" style="width:54.95pt;height:15pt" o:ole="">
            <v:imagedata r:id="rId24" o:title=""/>
          </v:shape>
          <o:OLEObject Type="Embed" ProgID="Equation.KSEE3" ShapeID="_x0000_i1033" DrawAspect="Content" ObjectID="_1679241227" r:id="rId25"/>
        </w:object>
      </w:r>
      <w:r>
        <w:rPr>
          <w:rFonts w:ascii="Times New Roman" w:eastAsia="宋体" w:hAnsi="Times New Roman" w:hint="eastAsia"/>
          <w:i/>
          <w:sz w:val="20"/>
          <w:szCs w:val="20"/>
        </w:rPr>
        <w:t xml:space="preserve"> </w:t>
      </w:r>
      <w:r>
        <w:rPr>
          <w:rFonts w:ascii="Times New Roman" w:eastAsia="宋体" w:hAnsi="Times New Roman" w:cs="Times New Roman" w:hint="eastAsia"/>
          <w:sz w:val="20"/>
          <w:szCs w:val="20"/>
        </w:rPr>
        <w:t>kHz</w:t>
      </w:r>
      <w:r>
        <w:rPr>
          <w:rFonts w:ascii="Times New Roman" w:eastAsia="宋体" w:hAnsi="Times New Roman" w:cs="Times New Roman"/>
          <w:sz w:val="20"/>
          <w:szCs w:val="20"/>
        </w:rPr>
        <w:t>, which lead</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to the</w:t>
      </w:r>
      <w:r>
        <w:rPr>
          <w:rFonts w:ascii="Times New Roman" w:eastAsia="宋体" w:hAnsi="Times New Roman" w:cs="Times New Roman" w:hint="eastAsia"/>
          <w:sz w:val="20"/>
          <w:szCs w:val="20"/>
        </w:rPr>
        <w:t xml:space="preserve"> minimum granularity of TA command </w:t>
      </w:r>
      <w:r>
        <w:rPr>
          <w:rFonts w:ascii="Times New Roman" w:eastAsia="宋体" w:hAnsi="Times New Roman" w:cs="Times New Roman"/>
          <w:sz w:val="20"/>
          <w:szCs w:val="20"/>
        </w:rPr>
        <w:t>as</w:t>
      </w:r>
      <w:r>
        <w:rPr>
          <w:rFonts w:ascii="Times New Roman" w:eastAsia="宋体" w:hAnsi="Times New Roman" w:hint="eastAsia"/>
          <w:i/>
          <w:position w:val="-12"/>
          <w:sz w:val="20"/>
          <w:szCs w:val="20"/>
        </w:rPr>
        <w:object w:dxaOrig="1263" w:dyaOrig="366" w14:anchorId="3F72FE89">
          <v:shape id="_x0000_i1034" type="#_x0000_t75" style="width:63.25pt;height:18.3pt" o:ole="">
            <v:imagedata r:id="rId22" o:title=""/>
          </v:shape>
          <o:OLEObject Type="Embed" ProgID="Equation.KSEE3" ShapeID="_x0000_i1034" DrawAspect="Content" ObjectID="_1679241228" r:id="rId26"/>
        </w:objec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by taking </w:t>
      </w:r>
      <w:r>
        <w:rPr>
          <w:rFonts w:ascii="Times New Roman" w:eastAsia="宋体" w:hAnsi="Times New Roman" w:cs="Times New Roman" w:hint="eastAsia"/>
          <w:sz w:val="20"/>
          <w:szCs w:val="20"/>
        </w:rPr>
        <w:t xml:space="preserve">common TA with granularity </w:t>
      </w:r>
      <w:r>
        <w:rPr>
          <w:rFonts w:ascii="Times New Roman" w:eastAsia="宋体" w:hAnsi="Times New Roman" w:cs="Times New Roman"/>
          <w:sz w:val="20"/>
          <w:szCs w:val="20"/>
        </w:rPr>
        <w:t>as</w:t>
      </w:r>
      <w:r>
        <w:rPr>
          <w:rFonts w:ascii="Times New Roman" w:eastAsia="宋体" w:hAnsi="Times New Roman" w:hint="eastAsia"/>
          <w:i/>
          <w:position w:val="-12"/>
          <w:sz w:val="20"/>
          <w:szCs w:val="20"/>
        </w:rPr>
        <w:object w:dxaOrig="1230" w:dyaOrig="366" w14:anchorId="614FB41F">
          <v:shape id="_x0000_i1035" type="#_x0000_t75" style="width:61.2pt;height:18.3pt" o:ole="">
            <v:imagedata r:id="rId22" o:title=""/>
          </v:shape>
          <o:OLEObject Type="Embed" ProgID="Equation.KSEE3" ShapeID="_x0000_i1035" DrawAspect="Content" ObjectID="_1679241229" r:id="rId27"/>
        </w:object>
      </w:r>
      <w:r>
        <w:rPr>
          <w:rFonts w:ascii="Times New Roman" w:eastAsia="宋体" w:hAnsi="Times New Roman" w:cs="Times New Roman" w:hint="eastAsia"/>
          <w:sz w:val="20"/>
          <w:szCs w:val="20"/>
        </w:rPr>
        <w:t xml:space="preserve">, the indicated common TA is compatible to all possible numerologies. </w:t>
      </w:r>
      <w:r>
        <w:rPr>
          <w:rFonts w:ascii="Times New Roman" w:eastAsia="宋体" w:hAnsi="Times New Roman" w:cs="Times New Roman"/>
          <w:sz w:val="20"/>
          <w:szCs w:val="20"/>
        </w:rPr>
        <w:t xml:space="preserve">Meanwhile, </w:t>
      </w:r>
      <w:r>
        <w:rPr>
          <w:rFonts w:ascii="Times New Roman" w:eastAsia="宋体" w:hAnsi="Times New Roman" w:cs="Times New Roman"/>
          <w:sz w:val="20"/>
          <w:szCs w:val="20"/>
        </w:rPr>
        <w:lastRenderedPageBreak/>
        <w:t>w.r.t the UL transmission after initial access, TA adjustment</w:t>
      </w:r>
      <w:r>
        <w:rPr>
          <w:rFonts w:ascii="Times New Roman" w:eastAsia="宋体" w:hAnsi="Times New Roman" w:cs="Times New Roman" w:hint="eastAsia"/>
          <w:sz w:val="20"/>
          <w:szCs w:val="20"/>
        </w:rPr>
        <w:t>/</w:t>
      </w:r>
      <w:r>
        <w:rPr>
          <w:rFonts w:ascii="Times New Roman" w:eastAsia="宋体" w:hAnsi="Times New Roman" w:cs="Times New Roman"/>
          <w:sz w:val="20"/>
          <w:szCs w:val="20"/>
        </w:rPr>
        <w:t>correction with finer granularity</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can also be handled by the closed-</w:t>
      </w:r>
      <w:r>
        <w:rPr>
          <w:rFonts w:ascii="Times New Roman" w:eastAsia="宋体" w:hAnsi="Times New Roman" w:cs="Times New Roman" w:hint="eastAsia"/>
          <w:sz w:val="20"/>
          <w:szCs w:val="20"/>
        </w:rPr>
        <w:t>loop</w:t>
      </w:r>
      <w:r>
        <w:rPr>
          <w:rFonts w:ascii="Times New Roman" w:eastAsia="宋体" w:hAnsi="Times New Roman" w:cs="Times New Roman"/>
          <w:sz w:val="20"/>
          <w:szCs w:val="20"/>
        </w:rPr>
        <w:t xml:space="preserve"> MAC CE signaling from BS.</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hint="eastAsia"/>
          <w:i/>
          <w:position w:val="-12"/>
          <w:sz w:val="20"/>
          <w:szCs w:val="20"/>
        </w:rPr>
        <w:object w:dxaOrig="1196" w:dyaOrig="354" w14:anchorId="2CD193B8">
          <v:shape id="_x0000_i1036" type="#_x0000_t75" style="width:59.95pt;height:17.5pt" o:ole="">
            <v:imagedata r:id="rId22" o:title=""/>
          </v:shape>
          <o:OLEObject Type="Embed" ProgID="Equation.KSEE3" ShapeID="_x0000_i1036" DrawAspect="Content" ObjectID="_1679241230" r:id="rId28"/>
        </w:object>
      </w:r>
      <w:r>
        <w:rPr>
          <w:rFonts w:ascii="Times New Roman" w:eastAsia="宋体" w:hAnsi="Times New Roman"/>
          <w:i/>
          <w:sz w:val="20"/>
          <w:szCs w:val="20"/>
        </w:rPr>
        <w:t>.</w:t>
      </w:r>
    </w:p>
    <w:p w:rsidR="009923C8" w:rsidRDefault="001447C9">
      <w:pPr>
        <w:pStyle w:val="2"/>
        <w:numPr>
          <w:ilvl w:val="1"/>
          <w:numId w:val="6"/>
        </w:numPr>
        <w:rPr>
          <w:rFonts w:ascii="Times New Roman" w:eastAsia="宋体" w:hAnsi="Times New Roman" w:cs="Times New Roman"/>
          <w:sz w:val="20"/>
          <w:szCs w:val="20"/>
        </w:rPr>
      </w:pPr>
      <w:r>
        <w:rPr>
          <w:rFonts w:ascii="Times New Roman" w:eastAsia="宋体" w:hAnsi="Times New Roman" w:cs="Times New Roman"/>
          <w:sz w:val="24"/>
          <w:szCs w:val="24"/>
          <w:lang w:val="en-US"/>
        </w:rPr>
        <w:t>Indication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r>
        <w:rPr>
          <w:rFonts w:ascii="Times New Roman" w:eastAsia="宋体" w:hAnsi="Times New Roman" w:cs="Times New Roman" w:hint="eastAsia"/>
          <w:sz w:val="24"/>
          <w:szCs w:val="24"/>
          <w:lang w:val="en-US"/>
        </w:rPr>
        <w:t xml:space="preserve"> drift rate</w:t>
      </w:r>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In the LEO cases, the variation of propagation timing for feeder link will lead to time-variant TA adjustment value. To reduce the network complexity, including additional impact on the RF of existing BS (which may be reused to </w:t>
      </w:r>
      <w:r>
        <w:rPr>
          <w:rFonts w:ascii="Times New Roman" w:eastAsia="宋体" w:hAnsi="Times New Roman" w:cs="Times New Roman" w:hint="eastAsia"/>
          <w:sz w:val="20"/>
          <w:szCs w:val="20"/>
        </w:rPr>
        <w:t>serve</w:t>
      </w:r>
      <w:r>
        <w:rPr>
          <w:rFonts w:ascii="Times New Roman" w:eastAsia="宋体" w:hAnsi="Times New Roman" w:cs="Times New Roman"/>
          <w:sz w:val="20"/>
          <w:szCs w:val="20"/>
          <w:lang w:val="en-GB"/>
        </w:rPr>
        <w:t xml:space="preserve"> the satellite with minimized updates), it’s preferred to indicate corresponding drift rate to UE to enable the autonomous adjustment.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3: </w:t>
      </w:r>
      <w:r>
        <w:rPr>
          <w:rFonts w:ascii="Times New Roman" w:eastAsia="宋体" w:hAnsi="Times New Roman"/>
          <w:i/>
          <w:sz w:val="20"/>
          <w:szCs w:val="20"/>
        </w:rPr>
        <w:t xml:space="preserve">Indication of common </w:t>
      </w:r>
      <w:r>
        <w:rPr>
          <w:rFonts w:ascii="Times New Roman" w:eastAsia="宋体" w:hAnsi="Times New Roman" w:hint="eastAsia"/>
          <w:i/>
          <w:sz w:val="20"/>
          <w:szCs w:val="20"/>
        </w:rPr>
        <w:t xml:space="preserve">TA </w:t>
      </w:r>
      <w:r>
        <w:rPr>
          <w:rFonts w:ascii="Times New Roman" w:eastAsia="宋体" w:hAnsi="Times New Roman"/>
          <w:i/>
          <w:sz w:val="20"/>
          <w:szCs w:val="20"/>
        </w:rPr>
        <w:t xml:space="preserve">drift rate should be supported to assist TA </w:t>
      </w:r>
      <w:r>
        <w:rPr>
          <w:rFonts w:ascii="Times New Roman" w:eastAsia="宋体" w:hAnsi="Times New Roman" w:hint="eastAsia"/>
          <w:i/>
          <w:sz w:val="20"/>
          <w:szCs w:val="20"/>
        </w:rPr>
        <w:t>adjustment.</w:t>
      </w:r>
    </w:p>
    <w:p w:rsidR="009923C8" w:rsidRDefault="001447C9">
      <w:pPr>
        <w:pStyle w:val="2"/>
        <w:numPr>
          <w:ilvl w:val="1"/>
          <w:numId w:val="6"/>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margin</w:t>
      </w:r>
      <w:r>
        <w:rPr>
          <w:rFonts w:ascii="Times New Roman" w:eastAsia="宋体" w:hAnsi="Times New Roman" w:cs="Times New Roman"/>
          <w:sz w:val="24"/>
          <w:szCs w:val="24"/>
          <w:lang w:val="en-US"/>
        </w:rPr>
        <w:t xml:space="preserve"> </w:t>
      </w:r>
    </w:p>
    <w:p w:rsidR="009923C8" w:rsidRDefault="001447C9">
      <w:pPr>
        <w:pStyle w:val="ad"/>
        <w:numPr>
          <w:ilvl w:val="3"/>
          <w:numId w:val="0"/>
        </w:num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the necessity of TA margin, </w:t>
      </w:r>
      <w:r>
        <w:rPr>
          <w:rFonts w:ascii="Times New Roman" w:eastAsia="宋体" w:hAnsi="Times New Roman" w:cs="Times New Roman"/>
          <w:sz w:val="20"/>
          <w:szCs w:val="20"/>
        </w:rPr>
        <w:t xml:space="preserve">the intention </w:t>
      </w:r>
      <w:r w:rsidR="0020127D">
        <w:rPr>
          <w:rFonts w:ascii="Times New Roman" w:eastAsia="宋体" w:hAnsi="Times New Roman" w:cs="Times New Roman"/>
          <w:sz w:val="20"/>
          <w:szCs w:val="20"/>
        </w:rPr>
        <w:t xml:space="preserve">of introduction on </w:t>
      </w:r>
      <w:r>
        <w:rPr>
          <w:rFonts w:ascii="Times New Roman" w:eastAsia="宋体" w:hAnsi="Times New Roman" w:cs="Times New Roman" w:hint="eastAsia"/>
          <w:sz w:val="20"/>
          <w:szCs w:val="20"/>
        </w:rPr>
        <w:t xml:space="preserve">TA margin is to handle the possible interference caused by TA overestimation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_Ref24335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If the accuracy requirement for TA pre-compensation is high, the interference may not be significant and TA margin is not needed. For example,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short PRACH format can be considered for evaluation, e.g., PRACH preamble format B1. In order to make all preamble formats feasible, the TA estimation error should be smaller than half CP (at least) of format B1 with largest SCS (e.g., 120 kHz for Ka-band). Therefore, the error for TA pre-compensation is upper bounded by 439.45 ns, i.e., X&lt;=439.45ns. Under this situation, with the detailed simulation parameters in Table 2, the influence of TA overestimation is evaluated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_Ref27744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It can be observed that negligible performance impacts occurs for the PUSCH transmission from other UE. </w:t>
      </w:r>
    </w:p>
    <w:p w:rsidR="009923C8" w:rsidRDefault="001447C9">
      <w:pPr>
        <w:spacing w:beforeLines="50" w:before="120" w:afterLines="50" w:after="120" w:line="240" w:lineRule="auto"/>
        <w:jc w:val="center"/>
        <w:rPr>
          <w:rFonts w:ascii="Times New Roman" w:eastAsia="宋体" w:hAnsi="Times New Roman"/>
          <w:iCs/>
          <w:sz w:val="20"/>
          <w:szCs w:val="20"/>
        </w:rPr>
      </w:pPr>
      <w:r>
        <w:rPr>
          <w:rFonts w:ascii="Times New Roman" w:eastAsia="宋体" w:hAnsi="Times New Roman" w:hint="eastAsia"/>
          <w:iCs/>
          <w:noProof/>
          <w:sz w:val="20"/>
          <w:szCs w:val="20"/>
        </w:rPr>
        <w:drawing>
          <wp:inline distT="0" distB="0" distL="114300" distR="114300">
            <wp:extent cx="3371850" cy="1388110"/>
            <wp:effectExtent l="0" t="0" r="0" b="2540"/>
            <wp:docPr id="5" name="图片 5"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捕获"/>
                    <pic:cNvPicPr>
                      <a:picLocks noChangeAspect="1"/>
                    </pic:cNvPicPr>
                  </pic:nvPicPr>
                  <pic:blipFill>
                    <a:blip r:embed="rId29"/>
                    <a:stretch>
                      <a:fillRect/>
                    </a:stretch>
                  </pic:blipFill>
                  <pic:spPr>
                    <a:xfrm>
                      <a:off x="0" y="0"/>
                      <a:ext cx="3374694" cy="1389522"/>
                    </a:xfrm>
                    <a:prstGeom prst="rect">
                      <a:avLst/>
                    </a:prstGeom>
                  </pic:spPr>
                </pic:pic>
              </a:graphicData>
            </a:graphic>
          </wp:inline>
        </w:drawing>
      </w:r>
    </w:p>
    <w:p w:rsidR="009923C8" w:rsidRDefault="001447C9">
      <w:pPr>
        <w:pStyle w:val="a3"/>
        <w:rPr>
          <w:b w:val="0"/>
          <w:iCs/>
          <w:lang w:val="en-US"/>
        </w:rPr>
      </w:pPr>
      <w:bookmarkStart w:id="6" w:name="_Ref24335"/>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6"/>
      <w:r>
        <w:rPr>
          <w:b w:val="0"/>
        </w:rPr>
        <w:t xml:space="preserve"> </w:t>
      </w:r>
      <w:r>
        <w:rPr>
          <w:b w:val="0"/>
          <w:lang w:eastAsia="en-US"/>
        </w:rPr>
        <w:t>I</w:t>
      </w:r>
      <w:r>
        <w:rPr>
          <w:b w:val="0"/>
        </w:rPr>
        <w:t xml:space="preserve">llustration of </w:t>
      </w:r>
      <w:r>
        <w:rPr>
          <w:rFonts w:hint="eastAsia"/>
          <w:b w:val="0"/>
          <w:lang w:val="en-US"/>
        </w:rPr>
        <w:t>TA overestimation</w:t>
      </w:r>
      <w:r>
        <w:rPr>
          <w:b w:val="0"/>
        </w:rPr>
        <w:t xml:space="preserve">. </w:t>
      </w:r>
    </w:p>
    <w:p w:rsidR="009923C8" w:rsidRDefault="001447C9">
      <w:pPr>
        <w:spacing w:beforeLines="50" w:before="120" w:afterLines="50" w:after="120" w:line="240" w:lineRule="auto"/>
        <w:jc w:val="center"/>
        <w:rPr>
          <w:rFonts w:ascii="Times New Roman" w:eastAsia="宋体" w:hAnsi="Times New Roman"/>
          <w:iCs/>
          <w:sz w:val="20"/>
          <w:szCs w:val="20"/>
        </w:rPr>
      </w:pPr>
      <w:r>
        <w:rPr>
          <w:rFonts w:ascii="Times New Roman" w:eastAsia="宋体" w:hAnsi="Times New Roman" w:hint="eastAsia"/>
          <w:iCs/>
          <w:noProof/>
          <w:sz w:val="20"/>
          <w:szCs w:val="20"/>
        </w:rPr>
        <w:drawing>
          <wp:inline distT="0" distB="0" distL="114300" distR="114300">
            <wp:extent cx="2838450" cy="2128520"/>
            <wp:effectExtent l="0" t="0" r="0" b="5080"/>
            <wp:docPr id="9" name="图片 9" descr="TAoverest_Ka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Aoverest_Kaband"/>
                    <pic:cNvPicPr>
                      <a:picLocks noChangeAspect="1"/>
                    </pic:cNvPicPr>
                  </pic:nvPicPr>
                  <pic:blipFill>
                    <a:blip r:embed="rId30"/>
                    <a:stretch>
                      <a:fillRect/>
                    </a:stretch>
                  </pic:blipFill>
                  <pic:spPr>
                    <a:xfrm>
                      <a:off x="0" y="0"/>
                      <a:ext cx="2841113" cy="2131058"/>
                    </a:xfrm>
                    <a:prstGeom prst="rect">
                      <a:avLst/>
                    </a:prstGeom>
                  </pic:spPr>
                </pic:pic>
              </a:graphicData>
            </a:graphic>
          </wp:inline>
        </w:drawing>
      </w:r>
    </w:p>
    <w:p w:rsidR="009923C8" w:rsidRDefault="001447C9">
      <w:pPr>
        <w:pStyle w:val="a3"/>
        <w:rPr>
          <w:lang w:val="en-US"/>
        </w:rPr>
      </w:pPr>
      <w:bookmarkStart w:id="7" w:name="_Ref27744"/>
      <w:r>
        <w:t xml:space="preserve">Figure </w:t>
      </w:r>
      <w:r>
        <w:fldChar w:fldCharType="begin"/>
      </w:r>
      <w:r>
        <w:instrText xml:space="preserve"> SEQ Figure \* ARABIC </w:instrText>
      </w:r>
      <w:r>
        <w:fldChar w:fldCharType="separate"/>
      </w:r>
      <w:r>
        <w:t>2</w:t>
      </w:r>
      <w:r>
        <w:fldChar w:fldCharType="end"/>
      </w:r>
      <w:bookmarkEnd w:id="7"/>
      <w:r>
        <w:rPr>
          <w:rFonts w:hint="eastAsia"/>
          <w:b w:val="0"/>
          <w:lang w:val="en-US"/>
        </w:rPr>
        <w:t xml:space="preserve"> Influence of TA overestimation in Ka-band</w:t>
      </w:r>
      <w:r>
        <w:rPr>
          <w:b w:val="0"/>
        </w:rPr>
        <w:t xml:space="preserve">. </w:t>
      </w:r>
    </w:p>
    <w:p w:rsidR="009923C8" w:rsidRDefault="001447C9">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Pr>
          <w:rFonts w:ascii="Times New Roman" w:eastAsia="宋体" w:hAnsi="Times New Roman" w:hint="eastAsia"/>
          <w:i/>
          <w:sz w:val="20"/>
          <w:szCs w:val="20"/>
        </w:rPr>
        <w:t xml:space="preserve">When the accuracy requirement for autonomous pre-compensation is high enough, the interference caused by TA uncertainty is </w:t>
      </w:r>
      <w:r w:rsidR="00591995">
        <w:rPr>
          <w:rFonts w:ascii="Times New Roman" w:eastAsia="宋体" w:hAnsi="Times New Roman"/>
          <w:i/>
          <w:sz w:val="20"/>
          <w:szCs w:val="20"/>
        </w:rPr>
        <w:t>negligible</w:t>
      </w:r>
      <w:r>
        <w:rPr>
          <w:rFonts w:ascii="Times New Roman" w:eastAsia="宋体" w:hAnsi="Times New Roman" w:hint="eastAsia"/>
          <w:i/>
          <w:sz w:val="20"/>
          <w:szCs w:val="20"/>
        </w:rPr>
        <w: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4: </w:t>
      </w:r>
      <w:r>
        <w:rPr>
          <w:rFonts w:ascii="Times New Roman" w:eastAsia="宋体" w:hAnsi="Times New Roman" w:hint="eastAsia"/>
          <w:i/>
          <w:sz w:val="20"/>
          <w:szCs w:val="20"/>
        </w:rPr>
        <w:t>Postpone the discussion on TA margin until RAN4 determines time synchronization requirements.</w:t>
      </w:r>
    </w:p>
    <w:p w:rsidR="009923C8" w:rsidRDefault="005707D7">
      <w:pPr>
        <w:pStyle w:val="ad"/>
        <w:numPr>
          <w:ilvl w:val="3"/>
          <w:numId w:val="0"/>
        </w:num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If</w:t>
      </w:r>
      <w:r w:rsidR="001447C9">
        <w:rPr>
          <w:rFonts w:ascii="Times New Roman" w:eastAsia="宋体" w:hAnsi="Times New Roman" w:cs="Times New Roman"/>
          <w:sz w:val="20"/>
          <w:szCs w:val="20"/>
        </w:rPr>
        <w:t xml:space="preserve"> proponent companies </w:t>
      </w:r>
      <w:r w:rsidR="001447C9">
        <w:rPr>
          <w:rFonts w:ascii="Times New Roman" w:eastAsia="宋体" w:hAnsi="Times New Roman" w:cs="Times New Roman" w:hint="eastAsia"/>
          <w:sz w:val="20"/>
          <w:szCs w:val="20"/>
        </w:rPr>
        <w:t>believe that the accuracy of TA pre-compensation is not high enough</w:t>
      </w:r>
      <w:r w:rsidR="001447C9">
        <w:rPr>
          <w:rFonts w:ascii="Times New Roman" w:eastAsia="宋体" w:hAnsi="Times New Roman" w:cs="Times New Roman"/>
          <w:sz w:val="20"/>
          <w:szCs w:val="20"/>
        </w:rPr>
        <w:t xml:space="preserve"> (e.g., according to the feedback from RAN4 on the accuracy) </w:t>
      </w:r>
      <w:r w:rsidR="001447C9">
        <w:rPr>
          <w:rFonts w:ascii="Times New Roman" w:eastAsia="宋体" w:hAnsi="Times New Roman" w:cs="Times New Roman" w:hint="eastAsia"/>
          <w:sz w:val="20"/>
          <w:szCs w:val="20"/>
        </w:rPr>
        <w:t xml:space="preserve">and </w:t>
      </w:r>
      <w:r w:rsidR="001447C9">
        <w:rPr>
          <w:rFonts w:ascii="Times New Roman" w:eastAsia="宋体" w:hAnsi="Times New Roman" w:cs="Times New Roman"/>
          <w:sz w:val="20"/>
          <w:szCs w:val="20"/>
        </w:rPr>
        <w:t xml:space="preserve">prefer to introduce additional adjustment </w:t>
      </w:r>
      <w:r w:rsidR="001447C9">
        <w:rPr>
          <w:rFonts w:ascii="Times New Roman" w:eastAsia="宋体" w:hAnsi="Times New Roman" w:cs="Times New Roman" w:hint="eastAsia"/>
          <w:sz w:val="20"/>
          <w:szCs w:val="20"/>
        </w:rPr>
        <w:t xml:space="preserve">to handle TA uncertainty, absorbing </w:t>
      </w:r>
      <w:r w:rsidR="001447C9">
        <w:rPr>
          <w:rFonts w:ascii="Times New Roman" w:eastAsia="宋体" w:hAnsi="Times New Roman" w:cs="Times New Roman"/>
          <w:sz w:val="20"/>
          <w:szCs w:val="20"/>
        </w:rPr>
        <w:t xml:space="preserve">the corresponding value </w:t>
      </w:r>
      <w:r w:rsidR="001447C9">
        <w:rPr>
          <w:rFonts w:ascii="Times New Roman" w:eastAsia="宋体" w:hAnsi="Times New Roman" w:cs="Times New Roman" w:hint="eastAsia"/>
          <w:sz w:val="20"/>
          <w:szCs w:val="20"/>
        </w:rPr>
        <w:t>in</w:t>
      </w:r>
      <w:r w:rsidR="001447C9">
        <w:rPr>
          <w:rFonts w:ascii="Times New Roman" w:eastAsia="宋体" w:hAnsi="Times New Roman" w:cs="Times New Roman"/>
          <w:sz w:val="20"/>
          <w:szCs w:val="20"/>
        </w:rPr>
        <w:t>to the</w:t>
      </w:r>
      <w:r w:rsidR="001447C9">
        <w:rPr>
          <w:rFonts w:ascii="Times New Roman" w:eastAsia="宋体" w:hAnsi="Times New Roman" w:cs="Times New Roman" w:hint="eastAsia"/>
          <w:sz w:val="20"/>
          <w:szCs w:val="20"/>
        </w:rPr>
        <w:t xml:space="preserve"> common TA</w:t>
      </w:r>
      <w:r w:rsidR="001447C9">
        <w:rPr>
          <w:rFonts w:ascii="Times New Roman" w:eastAsia="宋体" w:hAnsi="Times New Roman" w:cs="Times New Roman"/>
          <w:sz w:val="20"/>
          <w:szCs w:val="20"/>
        </w:rPr>
        <w:t xml:space="preserve"> indication</w:t>
      </w:r>
      <w:r w:rsidR="001447C9">
        <w:rPr>
          <w:rFonts w:ascii="Times New Roman" w:eastAsia="宋体" w:hAnsi="Times New Roman" w:cs="Times New Roman" w:hint="eastAsia"/>
          <w:sz w:val="20"/>
          <w:szCs w:val="20"/>
        </w:rPr>
        <w:t xml:space="preserve"> is preferred </w:t>
      </w:r>
      <w:r w:rsidR="001447C9">
        <w:rPr>
          <w:rFonts w:ascii="Times New Roman" w:eastAsia="宋体" w:hAnsi="Times New Roman" w:cs="Times New Roman"/>
          <w:sz w:val="20"/>
          <w:szCs w:val="20"/>
        </w:rPr>
        <w:t xml:space="preserve">instead of new signaling to reduce the </w:t>
      </w:r>
      <w:r w:rsidR="001447C9">
        <w:rPr>
          <w:rFonts w:ascii="Times New Roman" w:eastAsia="宋体" w:hAnsi="Times New Roman" w:cs="Times New Roman" w:hint="eastAsia"/>
          <w:sz w:val="20"/>
          <w:szCs w:val="20"/>
        </w:rPr>
        <w:t xml:space="preserve">costs </w:t>
      </w:r>
      <w:r w:rsidR="001447C9">
        <w:rPr>
          <w:rFonts w:ascii="Times New Roman" w:eastAsia="宋体" w:hAnsi="Times New Roman" w:cs="Times New Roman"/>
          <w:sz w:val="20"/>
          <w:szCs w:val="20"/>
        </w:rPr>
        <w:t xml:space="preserve">and simplify the implementation </w:t>
      </w:r>
      <w:r w:rsidR="001F6735">
        <w:rPr>
          <w:rFonts w:ascii="Times New Roman" w:eastAsia="宋体" w:hAnsi="Times New Roman" w:cs="Times New Roman" w:hint="eastAsia"/>
          <w:sz w:val="20"/>
          <w:szCs w:val="20"/>
        </w:rPr>
        <w:t>of</w:t>
      </w:r>
      <w:r w:rsidR="001F6735">
        <w:rPr>
          <w:rFonts w:ascii="Times New Roman" w:eastAsia="宋体" w:hAnsi="Times New Roman" w:cs="Times New Roman"/>
          <w:sz w:val="20"/>
          <w:szCs w:val="20"/>
        </w:rPr>
        <w:t xml:space="preserve"> </w:t>
      </w:r>
      <w:r w:rsidR="001447C9">
        <w:rPr>
          <w:rFonts w:ascii="Times New Roman" w:eastAsia="宋体" w:hAnsi="Times New Roman" w:cs="Times New Roman"/>
          <w:sz w:val="20"/>
          <w:szCs w:val="20"/>
        </w:rPr>
        <w:t>both UE and gNB</w:t>
      </w:r>
      <w:r w:rsidR="001447C9">
        <w:rPr>
          <w:rFonts w:ascii="Times New Roman" w:eastAsia="宋体" w:hAnsi="Times New Roman" w:cs="Times New Roman" w:hint="eastAsia"/>
          <w:sz w:val="20"/>
          <w:szCs w:val="20"/>
        </w:rPr>
        <w: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宋体" w:hAnsi="Times New Roman" w:hint="eastAsia"/>
          <w:i/>
          <w:sz w:val="20"/>
          <w:szCs w:val="20"/>
        </w:rPr>
        <w:t xml:space="preserve">If TA margin is </w:t>
      </w:r>
      <w:r w:rsidR="005707D7">
        <w:rPr>
          <w:rFonts w:ascii="Times New Roman" w:eastAsia="宋体" w:hAnsi="Times New Roman"/>
          <w:i/>
          <w:sz w:val="20"/>
          <w:szCs w:val="20"/>
        </w:rPr>
        <w:t>needed</w:t>
      </w:r>
      <w:r>
        <w:rPr>
          <w:rFonts w:ascii="Times New Roman" w:eastAsia="宋体" w:hAnsi="Times New Roman" w:hint="eastAsia"/>
          <w:i/>
          <w:sz w:val="20"/>
          <w:szCs w:val="20"/>
        </w:rPr>
        <w:t>, it should be absorbed in common TA to save signaling.</w:t>
      </w:r>
    </w:p>
    <w:p w:rsidR="009923C8" w:rsidRDefault="001447C9">
      <w:pPr>
        <w:pStyle w:val="2"/>
        <w:numPr>
          <w:ilvl w:val="1"/>
          <w:numId w:val="6"/>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maintenance mechanism</w:t>
      </w:r>
      <w:r>
        <w:rPr>
          <w:rFonts w:ascii="Times New Roman" w:eastAsia="宋体" w:hAnsi="Times New Roman" w:cs="Times New Roman"/>
          <w:sz w:val="24"/>
          <w:szCs w:val="24"/>
          <w:lang w:val="en-US"/>
        </w:rPr>
        <w:t xml:space="preserve"> </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RAN1#104e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it is agreed that combination of both open (i.e. UE autonomous TA estimation, and common TA estimation) and closed (i.e., received TA commands) control loops shall be supported for TA update in RRC_CONNECTED state</w:t>
      </w:r>
      <w:r>
        <w:rPr>
          <w:rFonts w:ascii="Times New Roman" w:eastAsia="宋体" w:hAnsi="Times New Roman" w:cs="Times New Roman"/>
          <w:sz w:val="20"/>
          <w:szCs w:val="20"/>
        </w:rPr>
        <w:t xml:space="preserve"> with FFS on the details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In this section, the determination of instant value for TA is </w:t>
      </w:r>
      <w:r>
        <w:rPr>
          <w:rFonts w:ascii="Times New Roman" w:eastAsia="宋体" w:hAnsi="Times New Roman" w:cs="Times New Roman" w:hint="eastAsia"/>
          <w:sz w:val="20"/>
          <w:szCs w:val="20"/>
        </w:rPr>
        <w:t>elaborated here.</w:t>
      </w:r>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Recall</w:t>
      </w:r>
      <w:r>
        <w:rPr>
          <w:rFonts w:ascii="Times New Roman" w:eastAsia="宋体" w:hAnsi="Times New Roman" w:cs="Times New Roman"/>
          <w:sz w:val="20"/>
          <w:szCs w:val="20"/>
        </w:rPr>
        <w:t>ing</w:t>
      </w:r>
      <w:r>
        <w:rPr>
          <w:rFonts w:ascii="Times New Roman" w:eastAsia="宋体" w:hAnsi="Times New Roman" w:cs="Times New Roman" w:hint="eastAsia"/>
          <w:sz w:val="20"/>
          <w:szCs w:val="20"/>
        </w:rPr>
        <w:t xml:space="preserve"> that the expression of TA applied is converging to the following equation in RAN1#104e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9923C8" w:rsidRDefault="001447C9">
      <w:pPr>
        <w:spacing w:after="240" w:line="240" w:lineRule="auto"/>
        <w:jc w:val="center"/>
        <w:rPr>
          <w:rFonts w:ascii="Times New Roman" w:eastAsia="宋体" w:hAnsi="Times New Roman" w:cs="Times New Roman"/>
          <w:sz w:val="20"/>
          <w:szCs w:val="20"/>
        </w:rPr>
      </w:pPr>
      <w:r>
        <w:rPr>
          <w:rFonts w:ascii="Cambria Math" w:eastAsia="宋体" w:hAnsi="Cambria Math" w:cs="Times New Roman" w:hint="eastAsia"/>
          <w:sz w:val="20"/>
          <w:szCs w:val="20"/>
        </w:rPr>
        <w:t xml:space="preserve"> </w:t>
      </w:r>
      <w:r>
        <w:rPr>
          <w:rFonts w:ascii="Times New Roman" w:eastAsia="宋体" w:hAnsi="Times New Roman" w:cs="Times New Roman" w:hint="eastAsia"/>
          <w:position w:val="-14"/>
          <w:sz w:val="20"/>
          <w:szCs w:val="20"/>
        </w:rPr>
        <w:object w:dxaOrig="4841" w:dyaOrig="377" w14:anchorId="78969061">
          <v:shape id="_x0000_i1037" type="#_x0000_t75" style="width:242.2pt;height:18.75pt" o:ole="">
            <v:imagedata r:id="rId31" o:title=""/>
          </v:shape>
          <o:OLEObject Type="Embed" ProgID="Equation.KSEE3" ShapeID="_x0000_i1037" DrawAspect="Content" ObjectID="_1679241231" r:id="rId32"/>
        </w:object>
      </w:r>
      <w:r>
        <w:rPr>
          <w:rFonts w:ascii="Cambria Math" w:eastAsia="宋体" w:hAnsi="Cambria Math" w:cs="Times New Roman" w:hint="eastAsia"/>
          <w:sz w:val="20"/>
          <w:szCs w:val="20"/>
        </w:rPr>
        <w:t>.</w:t>
      </w:r>
    </w:p>
    <w:p w:rsidR="009923C8" w:rsidRDefault="001447C9">
      <w:pPr>
        <w:spacing w:after="120"/>
        <w:ind w:leftChars="200" w:left="440"/>
        <w:rPr>
          <w:rFonts w:ascii="Cambria Math" w:eastAsia="宋体" w:hAnsi="Cambria Math" w:cs="Times New Roman" w:hint="eastAsia"/>
          <w:sz w:val="20"/>
          <w:szCs w:val="20"/>
        </w:rPr>
      </w:pPr>
      <w:r>
        <w:rPr>
          <w:rFonts w:ascii="Times New Roman" w:eastAsia="宋体" w:hAnsi="Times New Roman" w:cs="Times New Roman" w:hint="eastAsia"/>
          <w:sz w:val="20"/>
          <w:szCs w:val="20"/>
        </w:rPr>
        <w:t>In RRC_CONNECTED state</w:t>
      </w:r>
      <w:r w:rsidR="00935F25">
        <w:rPr>
          <w:rFonts w:ascii="Times New Roman" w:eastAsia="宋体" w:hAnsi="Times New Roman" w:cs="Times New Roman"/>
          <w:sz w:val="20"/>
          <w:szCs w:val="20"/>
        </w:rPr>
        <w:t>,</w:t>
      </w:r>
      <w:r>
        <w:rPr>
          <w:rFonts w:ascii="Times New Roman" w:eastAsia="宋体" w:hAnsi="Times New Roman" w:cs="Times New Roman" w:hint="eastAsia"/>
          <w:position w:val="-10"/>
          <w:sz w:val="20"/>
          <w:szCs w:val="20"/>
        </w:rPr>
        <w:object w:dxaOrig="421" w:dyaOrig="343" w14:anchorId="7099C8C5">
          <v:shape id="_x0000_i1038" type="#_x0000_t75" style="width:21.25pt;height:17.05pt" o:ole="">
            <v:imagedata r:id="rId11" o:title=""/>
          </v:shape>
          <o:OLEObject Type="Embed" ProgID="Equation.KSEE3" ShapeID="_x0000_i1038" DrawAspect="Content" ObjectID="_1679241232" r:id="rId33"/>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1185" w:dyaOrig="377" w14:anchorId="4BF52DC6">
          <v:shape id="_x0000_i1039" type="#_x0000_t75" style="width:59.5pt;height:18.75pt" o:ole="">
            <v:imagedata r:id="rId15" o:title=""/>
          </v:shape>
          <o:OLEObject Type="Embed" ProgID="Equation.KSEE3" ShapeID="_x0000_i1039" DrawAspect="Content" ObjectID="_1679241233" r:id="rId34"/>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 xml:space="preserve">and </w:t>
      </w:r>
      <w:r>
        <w:rPr>
          <w:rFonts w:ascii="Times New Roman" w:eastAsia="宋体" w:hAnsi="Times New Roman" w:cs="Times New Roman" w:hint="eastAsia"/>
          <w:position w:val="-14"/>
          <w:sz w:val="20"/>
          <w:szCs w:val="20"/>
        </w:rPr>
        <w:object w:dxaOrig="942" w:dyaOrig="377" w14:anchorId="54747BC1">
          <v:shape id="_x0000_i1040" type="#_x0000_t75" style="width:47.05pt;height:18.75pt" o:ole="">
            <v:imagedata r:id="rId17" o:title=""/>
          </v:shape>
          <o:OLEObject Type="Embed" ProgID="Equation.KSEE3" ShapeID="_x0000_i1040" DrawAspect="Content" ObjectID="_1679241234" r:id="rId35"/>
        </w:object>
      </w:r>
      <w:r>
        <w:rPr>
          <w:rFonts w:ascii="Times New Roman" w:eastAsia="宋体" w:hAnsi="Times New Roman" w:cs="Times New Roman" w:hint="eastAsia"/>
          <w:sz w:val="20"/>
          <w:szCs w:val="20"/>
        </w:rPr>
        <w:t xml:space="preserve"> can be varied and need to be updated during TA maintenance. Among them, </w:t>
      </w:r>
      <w:r>
        <w:rPr>
          <w:rFonts w:ascii="Times New Roman" w:eastAsia="宋体" w:hAnsi="Times New Roman" w:cs="Times New Roman" w:hint="eastAsia"/>
          <w:position w:val="-14"/>
          <w:sz w:val="20"/>
          <w:szCs w:val="20"/>
        </w:rPr>
        <w:object w:dxaOrig="1185" w:dyaOrig="377" w14:anchorId="529230C4">
          <v:shape id="_x0000_i1041" type="#_x0000_t75" style="width:59.5pt;height:18.75pt" o:ole="">
            <v:imagedata r:id="rId15" o:title=""/>
          </v:shape>
          <o:OLEObject Type="Embed" ProgID="Equation.KSEE3" ShapeID="_x0000_i1041" DrawAspect="Content" ObjectID="_1679241235" r:id="rId36"/>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is service link TA and is open loop controlled as:</w:t>
      </w:r>
    </w:p>
    <w:p w:rsidR="009923C8" w:rsidRDefault="001447C9">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162" w:dyaOrig="377" w14:anchorId="616AEA90">
          <v:shape id="_x0000_i1042" type="#_x0000_t75" alt="" style="width:208.1pt;height:18.75pt" o:ole="">
            <v:imagedata r:id="rId37" o:title=""/>
          </v:shape>
          <o:OLEObject Type="Embed" ProgID="Equation.KSEE3" ShapeID="_x0000_i1042" DrawAspect="Content" ObjectID="_1679241236" r:id="rId38"/>
        </w:object>
      </w:r>
      <w:r>
        <w:rPr>
          <w:rFonts w:ascii="Times New Roman" w:eastAsia="宋体" w:hAnsi="Times New Roman" w:cs="Times New Roman" w:hint="eastAsia"/>
          <w:sz w:val="20"/>
          <w:szCs w:val="20"/>
        </w:rPr>
        <w:t>,</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4"/>
          <w:sz w:val="20"/>
          <w:szCs w:val="20"/>
        </w:rPr>
        <w:object w:dxaOrig="1296" w:dyaOrig="377" w14:anchorId="1624B417">
          <v:shape id="_x0000_i1043" type="#_x0000_t75" style="width:64.9pt;height:18.75pt" o:ole="">
            <v:imagedata r:id="rId39" o:title=""/>
          </v:shape>
          <o:OLEObject Type="Embed" ProgID="Equation.KSEE3" ShapeID="_x0000_i1043" DrawAspect="Content" ObjectID="_1679241237" r:id="rId40"/>
        </w:object>
      </w:r>
      <w:r>
        <w:rPr>
          <w:rFonts w:ascii="Times New Roman" w:eastAsia="宋体" w:hAnsi="Times New Roman" w:cs="Times New Roman" w:hint="eastAsia"/>
          <w:sz w:val="20"/>
          <w:szCs w:val="20"/>
        </w:rPr>
        <w:t xml:space="preserve"> is the variation of service link TA and can be estimated by UE based on GNSS information of UE and ephemeris information of satellite. </w:t>
      </w:r>
      <w:r>
        <w:rPr>
          <w:rFonts w:ascii="Times New Roman" w:eastAsia="宋体" w:hAnsi="Times New Roman" w:cs="Times New Roman" w:hint="eastAsia"/>
          <w:position w:val="-14"/>
          <w:sz w:val="20"/>
          <w:szCs w:val="20"/>
        </w:rPr>
        <w:object w:dxaOrig="942" w:dyaOrig="377" w14:anchorId="3980327A">
          <v:shape id="_x0000_i1044" type="#_x0000_t75" style="width:47.05pt;height:18.75pt" o:ole="">
            <v:imagedata r:id="rId17" o:title=""/>
          </v:shape>
          <o:OLEObject Type="Embed" ProgID="Equation.KSEE3" ShapeID="_x0000_i1044" DrawAspect="Content" ObjectID="_1679241238" r:id="rId41"/>
        </w:object>
      </w:r>
      <w:r>
        <w:rPr>
          <w:rFonts w:ascii="Times New Roman" w:eastAsia="宋体" w:hAnsi="Times New Roman" w:cs="Times New Roman" w:hint="eastAsia"/>
          <w:sz w:val="20"/>
          <w:szCs w:val="20"/>
        </w:rPr>
        <w:t xml:space="preserve"> is common TA indicated from BS and can be open loop adjusted based on common TA drift rate:</w:t>
      </w:r>
    </w:p>
    <w:p w:rsidR="009923C8" w:rsidRDefault="001447C9">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063" w:dyaOrig="377" w14:anchorId="72680B2E">
          <v:shape id="_x0000_i1045" type="#_x0000_t75" alt="" style="width:203.1pt;height:18.75pt" o:ole="">
            <v:imagedata r:id="rId42" o:title=""/>
          </v:shape>
          <o:OLEObject Type="Embed" ProgID="Equation.KSEE3" ShapeID="_x0000_i1045" DrawAspect="Content" ObjectID="_1679241239" r:id="rId43"/>
        </w:object>
      </w:r>
      <w:r>
        <w:rPr>
          <w:rFonts w:ascii="Times New Roman" w:eastAsia="宋体" w:hAnsi="Times New Roman" w:cs="Times New Roman" w:hint="eastAsia"/>
          <w:sz w:val="20"/>
          <w:szCs w:val="20"/>
        </w:rPr>
        <w:t>,</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4"/>
          <w:sz w:val="20"/>
          <w:szCs w:val="20"/>
        </w:rPr>
        <w:object w:dxaOrig="1241" w:dyaOrig="377" w14:anchorId="447EB833">
          <v:shape id="_x0000_i1046" type="#_x0000_t75" style="width:62pt;height:18.75pt" o:ole="">
            <v:imagedata r:id="rId44" o:title=""/>
          </v:shape>
          <o:OLEObject Type="Embed" ProgID="Equation.KSEE3" ShapeID="_x0000_i1046" DrawAspect="Content" ObjectID="_1679241240" r:id="rId45"/>
        </w:object>
      </w:r>
      <w:r>
        <w:rPr>
          <w:rFonts w:ascii="Times New Roman" w:eastAsia="宋体" w:hAnsi="Times New Roman" w:cs="Times New Roman" w:hint="eastAsia"/>
          <w:sz w:val="20"/>
          <w:szCs w:val="20"/>
        </w:rPr>
        <w:t xml:space="preserve"> is the common TA drift rate indicated by BS, and </w:t>
      </w:r>
      <w:r>
        <w:rPr>
          <w:rFonts w:ascii="Times New Roman" w:eastAsia="宋体" w:hAnsi="Times New Roman" w:cs="Times New Roman" w:hint="eastAsia"/>
          <w:position w:val="-6"/>
          <w:sz w:val="20"/>
          <w:szCs w:val="20"/>
        </w:rPr>
        <w:object w:dxaOrig="299" w:dyaOrig="277" w14:anchorId="7D15F4DF">
          <v:shape id="_x0000_i1047" type="#_x0000_t75" style="width:15pt;height:13.75pt" o:ole="">
            <v:imagedata r:id="rId46" o:title=""/>
          </v:shape>
          <o:OLEObject Type="Embed" ProgID="Equation.KSEE3" ShapeID="_x0000_i1047" DrawAspect="Content" ObjectID="_1679241241" r:id="rId47"/>
        </w:object>
      </w:r>
      <w:r>
        <w:rPr>
          <w:rFonts w:ascii="Times New Roman" w:eastAsia="宋体" w:hAnsi="Times New Roman" w:cs="Times New Roman" w:hint="eastAsia"/>
          <w:sz w:val="20"/>
          <w:szCs w:val="20"/>
        </w:rPr>
        <w:t xml:space="preserve"> is the interval between the time when </w:t>
      </w:r>
      <w:r>
        <w:rPr>
          <w:rFonts w:ascii="Times New Roman" w:eastAsia="宋体" w:hAnsi="Times New Roman" w:cs="Times New Roman" w:hint="eastAsia"/>
          <w:position w:val="-14"/>
          <w:sz w:val="20"/>
          <w:szCs w:val="20"/>
        </w:rPr>
        <w:object w:dxaOrig="1097" w:dyaOrig="377" w14:anchorId="2C8F773C">
          <v:shape id="_x0000_i1048" type="#_x0000_t75" style="width:54.95pt;height:18.75pt" o:ole="">
            <v:imagedata r:id="rId48" o:title=""/>
          </v:shape>
          <o:OLEObject Type="Embed" ProgID="Equation.KSEE3" ShapeID="_x0000_i1048" DrawAspect="Content" ObjectID="_1679241242" r:id="rId49"/>
        </w:object>
      </w:r>
      <w:r>
        <w:rPr>
          <w:rFonts w:ascii="Times New Roman" w:eastAsia="宋体" w:hAnsi="Times New Roman" w:cs="Times New Roman" w:hint="eastAsia"/>
          <w:sz w:val="20"/>
          <w:szCs w:val="20"/>
        </w:rPr>
        <w:t xml:space="preserve"> is valid and current time. </w:t>
      </w:r>
      <w:r>
        <w:rPr>
          <w:rFonts w:ascii="Times New Roman" w:eastAsia="宋体" w:hAnsi="Times New Roman" w:cs="Times New Roman" w:hint="eastAsia"/>
          <w:position w:val="-10"/>
          <w:sz w:val="20"/>
          <w:szCs w:val="20"/>
        </w:rPr>
        <w:object w:dxaOrig="421" w:dyaOrig="343" w14:anchorId="2E110D05">
          <v:shape id="_x0000_i1049" type="#_x0000_t75" style="width:21.25pt;height:17.05pt" o:ole="">
            <v:imagedata r:id="rId11" o:title=""/>
          </v:shape>
          <o:OLEObject Type="Embed" ProgID="Equation.KSEE3" ShapeID="_x0000_i1049" DrawAspect="Content" ObjectID="_1679241243" r:id="rId50"/>
        </w:object>
      </w:r>
      <w:r>
        <w:rPr>
          <w:rFonts w:ascii="Times New Roman" w:eastAsia="宋体" w:hAnsi="Times New Roman" w:cs="Times New Roman" w:hint="eastAsia"/>
          <w:sz w:val="20"/>
          <w:szCs w:val="20"/>
        </w:rPr>
        <w:t xml:space="preserve"> is defined as in Rel-16 and is close loop controlled as:</w:t>
      </w:r>
    </w:p>
    <w:p w:rsidR="009923C8" w:rsidRDefault="001447C9">
      <w:pPr>
        <w:spacing w:after="120"/>
        <w:ind w:leftChars="200" w:left="440"/>
        <w:jc w:val="center"/>
        <w:rPr>
          <w:rFonts w:ascii="Cambria Math" w:hAnsi="Cambria Math" w:hint="eastAsia"/>
          <w:b/>
        </w:rPr>
      </w:pPr>
      <w:r>
        <w:rPr>
          <w:rFonts w:ascii="Times New Roman" w:eastAsia="宋体" w:hAnsi="Times New Roman" w:cs="Times New Roman" w:hint="eastAsia"/>
          <w:position w:val="-14"/>
          <w:sz w:val="20"/>
          <w:szCs w:val="20"/>
        </w:rPr>
        <w:object w:dxaOrig="3265" w:dyaOrig="399" w14:anchorId="4BCDF0F3">
          <v:shape id="_x0000_i1050" type="#_x0000_t75" alt="" style="width:163.55pt;height:20pt" o:ole="">
            <v:imagedata r:id="rId51" o:title=""/>
          </v:shape>
          <o:OLEObject Type="Embed" ProgID="Equation.KSEE3" ShapeID="_x0000_i1050" DrawAspect="Content" ObjectID="_1679241244" r:id="rId52"/>
        </w:object>
      </w:r>
      <w:r>
        <w:rPr>
          <w:rFonts w:ascii="Times New Roman" w:eastAsia="宋体" w:hAnsi="Times New Roman" w:cs="Times New Roman" w:hint="eastAsia"/>
          <w:sz w:val="20"/>
          <w:szCs w:val="20"/>
        </w:rPr>
        <w:t>,</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0"/>
          <w:sz w:val="20"/>
          <w:szCs w:val="20"/>
        </w:rPr>
        <w:object w:dxaOrig="277" w:dyaOrig="343" w14:anchorId="03AFEE58">
          <v:shape id="_x0000_i1051" type="#_x0000_t75" style="width:13.75pt;height:17.05pt" o:ole="">
            <v:imagedata r:id="rId53" o:title=""/>
          </v:shape>
          <o:OLEObject Type="Embed" ProgID="Equation.KSEE3" ShapeID="_x0000_i1051" DrawAspect="Content" ObjectID="_1679241245" r:id="rId54"/>
        </w:object>
      </w:r>
      <w:r>
        <w:rPr>
          <w:rFonts w:ascii="Times New Roman" w:eastAsia="宋体" w:hAnsi="Times New Roman" w:cs="Times New Roman" w:hint="eastAsia"/>
          <w:sz w:val="20"/>
          <w:szCs w:val="20"/>
        </w:rPr>
        <w:t xml:space="preserve"> is indicated in TA command in MAC CE. With </w:t>
      </w:r>
      <w:r>
        <w:rPr>
          <w:rFonts w:ascii="Times New Roman" w:eastAsia="宋体" w:hAnsi="Times New Roman" w:cs="Times New Roman" w:hint="eastAsia"/>
          <w:position w:val="-10"/>
          <w:sz w:val="20"/>
          <w:szCs w:val="20"/>
        </w:rPr>
        <w:object w:dxaOrig="421" w:dyaOrig="343" w14:anchorId="1E06D8C9">
          <v:shape id="_x0000_i1052" type="#_x0000_t75" style="width:21.25pt;height:17.05pt" o:ole="">
            <v:imagedata r:id="rId11" o:title=""/>
          </v:shape>
          <o:OLEObject Type="Embed" ProgID="Equation.KSEE3" ShapeID="_x0000_i1052" DrawAspect="Content" ObjectID="_1679241246" r:id="rId55"/>
        </w:object>
      </w:r>
      <w:r>
        <w:rPr>
          <w:rFonts w:ascii="Times New Roman" w:eastAsia="宋体" w:hAnsi="Times New Roman" w:cs="Times New Roman" w:hint="eastAsia"/>
          <w:sz w:val="20"/>
          <w:szCs w:val="20"/>
        </w:rPr>
        <w:t xml:space="preserve"> updated by close loop control, the residual error of components updated by open loop control, i.e., </w:t>
      </w:r>
      <w:r>
        <w:rPr>
          <w:rFonts w:ascii="Times New Roman" w:eastAsia="宋体" w:hAnsi="Times New Roman" w:cs="Times New Roman" w:hint="eastAsia"/>
          <w:position w:val="-14"/>
          <w:sz w:val="20"/>
          <w:szCs w:val="20"/>
        </w:rPr>
        <w:object w:dxaOrig="1185" w:dyaOrig="377" w14:anchorId="1ABFD2E0">
          <v:shape id="_x0000_i1053" type="#_x0000_t75" style="width:59.5pt;height:18.75pt" o:ole="">
            <v:imagedata r:id="rId15" o:title=""/>
          </v:shape>
          <o:OLEObject Type="Embed" ProgID="Equation.KSEE3" ShapeID="_x0000_i1053" DrawAspect="Content" ObjectID="_1679241247" r:id="rId56"/>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4"/>
          <w:sz w:val="20"/>
          <w:szCs w:val="20"/>
        </w:rPr>
        <w:object w:dxaOrig="942" w:dyaOrig="377" w14:anchorId="51F1C650">
          <v:shape id="_x0000_i1054" type="#_x0000_t75" style="width:47.05pt;height:18.75pt" o:ole="">
            <v:imagedata r:id="rId17" o:title=""/>
          </v:shape>
          <o:OLEObject Type="Embed" ProgID="Equation.KSEE3" ShapeID="_x0000_i1054" DrawAspect="Content" ObjectID="_1679241248" r:id="rId57"/>
        </w:object>
      </w:r>
      <w:r>
        <w:rPr>
          <w:rFonts w:ascii="Times New Roman" w:eastAsia="宋体" w:hAnsi="Times New Roman" w:cs="Times New Roman" w:hint="eastAsia"/>
          <w:sz w:val="20"/>
          <w:szCs w:val="20"/>
        </w:rPr>
        <w:t>, can be mitigated. Based on above analysis, the TA update formula could be expressed as in following proposal.</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hint="eastAsia"/>
          <w:i/>
          <w:sz w:val="20"/>
          <w:szCs w:val="20"/>
        </w:rPr>
        <w:t xml:space="preserve">In RRC_CONNECTED state, if the expression of applied TA </w:t>
      </w:r>
      <w:r>
        <w:rPr>
          <w:rFonts w:ascii="Times New Roman" w:eastAsia="宋体" w:hAnsi="Times New Roman"/>
          <w:i/>
          <w:sz w:val="20"/>
          <w:szCs w:val="20"/>
        </w:rPr>
        <w:t>determined as</w:t>
      </w:r>
      <w:r>
        <w:rPr>
          <w:rFonts w:ascii="Times New Roman" w:eastAsia="宋体" w:hAnsi="Times New Roman" w:hint="eastAsia"/>
          <w:i/>
          <w:sz w:val="20"/>
          <w:szCs w:val="20"/>
        </w:rPr>
        <w:t>:</w:t>
      </w:r>
    </w:p>
    <w:p w:rsidR="009923C8" w:rsidRDefault="001447C9">
      <w:pPr>
        <w:pStyle w:val="ad"/>
        <w:ind w:left="420" w:firstLineChars="0" w:firstLine="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841" w:dyaOrig="377" w14:anchorId="7772EC2A">
          <v:shape id="_x0000_i1055" type="#_x0000_t75" style="width:242.2pt;height:18.75pt" o:ole="">
            <v:imagedata r:id="rId31" o:title=""/>
          </v:shape>
          <o:OLEObject Type="Embed" ProgID="Equation.KSEE3" ShapeID="_x0000_i1055" DrawAspect="Content" ObjectID="_1679241249" r:id="rId58"/>
        </w:object>
      </w:r>
      <w:r>
        <w:rPr>
          <w:rFonts w:ascii="Times New Roman" w:eastAsia="宋体" w:hAnsi="Times New Roman" w:cs="Times New Roman" w:hint="eastAsia"/>
          <w:sz w:val="20"/>
          <w:szCs w:val="20"/>
        </w:rPr>
        <w:t>,</w:t>
      </w:r>
    </w:p>
    <w:p w:rsidR="009923C8" w:rsidRDefault="001447C9">
      <w:pPr>
        <w:pStyle w:val="ad"/>
        <w:ind w:left="420" w:firstLineChars="0" w:firstLine="0"/>
        <w:rPr>
          <w:rFonts w:ascii="Times New Roman" w:eastAsia="宋体" w:hAnsi="Times New Roman" w:cs="Times New Roman"/>
          <w:i/>
          <w:iCs/>
          <w:sz w:val="20"/>
          <w:szCs w:val="20"/>
        </w:rPr>
      </w:pPr>
      <w:r>
        <w:rPr>
          <w:rFonts w:ascii="Times New Roman" w:eastAsia="宋体" w:hAnsi="Times New Roman" w:cs="Times New Roman"/>
          <w:i/>
          <w:iCs/>
          <w:sz w:val="20"/>
          <w:szCs w:val="20"/>
        </w:rPr>
        <w:t>where</w:t>
      </w:r>
    </w:p>
    <w:p w:rsidR="009923C8" w:rsidRDefault="001447C9">
      <w:pPr>
        <w:numPr>
          <w:ilvl w:val="0"/>
          <w:numId w:val="5"/>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162" w:dyaOrig="377" w14:anchorId="59301C16">
          <v:shape id="_x0000_i1056" type="#_x0000_t75" alt="" style="width:208.1pt;height:18.75pt" o:ole="">
            <v:imagedata r:id="rId59" o:title=""/>
          </v:shape>
          <o:OLEObject Type="Embed" ProgID="Equation.KSEE3" ShapeID="_x0000_i1056" DrawAspect="Content" ObjectID="_1679241250" r:id="rId60"/>
        </w:object>
      </w:r>
      <w:r>
        <w:rPr>
          <w:rFonts w:ascii="Times New Roman" w:hAnsi="Times New Roman" w:cs="Times New Roman" w:hint="eastAsia"/>
          <w:i/>
          <w:iCs/>
          <w:sz w:val="20"/>
          <w:szCs w:val="20"/>
        </w:rPr>
        <w:t xml:space="preserve">, </w:t>
      </w:r>
      <w:r>
        <w:rPr>
          <w:rFonts w:ascii="Times New Roman" w:eastAsia="宋体" w:hAnsi="Times New Roman" w:cs="Times New Roman" w:hint="eastAsia"/>
          <w:position w:val="-14"/>
          <w:sz w:val="20"/>
          <w:szCs w:val="20"/>
        </w:rPr>
        <w:object w:dxaOrig="1296" w:dyaOrig="377" w14:anchorId="36D24E63">
          <v:shape id="_x0000_i1057" type="#_x0000_t75" style="width:64.9pt;height:18.75pt" o:ole="">
            <v:imagedata r:id="rId39" o:title=""/>
          </v:shape>
          <o:OLEObject Type="Embed" ProgID="Equation.KSEE3" ShapeID="_x0000_i1057" DrawAspect="Content" ObjectID="_1679241251" r:id="rId61"/>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estimated by UE based on </w:t>
      </w:r>
      <w:r>
        <w:rPr>
          <w:rFonts w:ascii="Times New Roman" w:eastAsia="宋体" w:hAnsi="Times New Roman" w:cs="Times New Roman"/>
          <w:i/>
          <w:iCs/>
          <w:sz w:val="20"/>
          <w:szCs w:val="20"/>
        </w:rPr>
        <w:t>GNSS and indicated information</w:t>
      </w:r>
      <w:r>
        <w:rPr>
          <w:rFonts w:ascii="Times New Roman" w:hAnsi="Times New Roman" w:cs="Times New Roman"/>
          <w:i/>
          <w:iCs/>
          <w:sz w:val="20"/>
          <w:szCs w:val="20"/>
        </w:rPr>
        <w:t>.</w:t>
      </w:r>
    </w:p>
    <w:p w:rsidR="009923C8" w:rsidRDefault="001447C9">
      <w:pPr>
        <w:pStyle w:val="ad"/>
        <w:numPr>
          <w:ilvl w:val="0"/>
          <w:numId w:val="5"/>
        </w:numPr>
        <w:spacing w:after="0" w:line="240" w:lineRule="auto"/>
        <w:ind w:left="72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063" w:dyaOrig="377" w14:anchorId="2F93567D">
          <v:shape id="_x0000_i1058" type="#_x0000_t75" alt="" style="width:203.1pt;height:18.75pt" o:ole="">
            <v:imagedata r:id="rId62" o:title=""/>
          </v:shape>
          <o:OLEObject Type="Embed" ProgID="Equation.KSEE3" ShapeID="_x0000_i1058" DrawAspect="Content" ObjectID="_1679241252" r:id="rId63"/>
        </w:object>
      </w:r>
      <w:r>
        <w:rPr>
          <w:rFonts w:ascii="Times New Roman" w:eastAsia="宋体" w:hAnsi="Times New Roman" w:cs="Times New Roman" w:hint="eastAsia"/>
          <w:sz w:val="20"/>
          <w:szCs w:val="20"/>
        </w:rPr>
        <w:t>,</w:t>
      </w:r>
      <w:r>
        <w:rPr>
          <w:rFonts w:hint="eastAsia"/>
          <w:kern w:val="2"/>
          <w:sz w:val="21"/>
        </w:rPr>
        <w:t xml:space="preserve"> </w:t>
      </w:r>
      <w:r>
        <w:rPr>
          <w:rFonts w:ascii="Times New Roman" w:eastAsia="宋体" w:hAnsi="Times New Roman" w:cs="Times New Roman" w:hint="eastAsia"/>
          <w:position w:val="-14"/>
          <w:sz w:val="20"/>
          <w:szCs w:val="20"/>
        </w:rPr>
        <w:object w:dxaOrig="1241" w:dyaOrig="377" w14:anchorId="6B9B0366">
          <v:shape id="_x0000_i1059" type="#_x0000_t75" style="width:62pt;height:18.75pt" o:ole="">
            <v:imagedata r:id="rId44" o:title=""/>
          </v:shape>
          <o:OLEObject Type="Embed" ProgID="Equation.KSEE3" ShapeID="_x0000_i1059" DrawAspect="Content" ObjectID="_1679241253" r:id="rId64"/>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i/>
          <w:iCs/>
          <w:sz w:val="20"/>
          <w:szCs w:val="20"/>
        </w:rPr>
        <w:t xml:space="preserve">is the common TA drift rate indicated by BS, and </w:t>
      </w:r>
      <w:r>
        <w:rPr>
          <w:rFonts w:ascii="Times New Roman" w:eastAsia="宋体" w:hAnsi="Times New Roman" w:cs="Times New Roman" w:hint="eastAsia"/>
          <w:i/>
          <w:iCs/>
          <w:position w:val="-6"/>
          <w:sz w:val="20"/>
          <w:szCs w:val="20"/>
        </w:rPr>
        <w:object w:dxaOrig="299" w:dyaOrig="277" w14:anchorId="43BB9395">
          <v:shape id="_x0000_i1060" type="#_x0000_t75" style="width:15pt;height:13.75pt" o:ole="">
            <v:imagedata r:id="rId46" o:title=""/>
          </v:shape>
          <o:OLEObject Type="Embed" ProgID="Equation.KSEE3" ShapeID="_x0000_i1060" DrawAspect="Content" ObjectID="_1679241254" r:id="rId65"/>
        </w:object>
      </w:r>
      <w:r>
        <w:rPr>
          <w:rFonts w:ascii="Times New Roman" w:eastAsia="宋体" w:hAnsi="Times New Roman" w:cs="Times New Roman" w:hint="eastAsia"/>
          <w:i/>
          <w:iCs/>
          <w:sz w:val="20"/>
          <w:szCs w:val="20"/>
        </w:rPr>
        <w:t xml:space="preserve"> is the interval between the time when </w:t>
      </w:r>
      <w:r>
        <w:rPr>
          <w:rFonts w:ascii="Times New Roman" w:eastAsia="宋体" w:hAnsi="Times New Roman" w:cs="Times New Roman" w:hint="eastAsia"/>
          <w:i/>
          <w:iCs/>
          <w:position w:val="-14"/>
          <w:sz w:val="20"/>
          <w:szCs w:val="20"/>
        </w:rPr>
        <w:object w:dxaOrig="1097" w:dyaOrig="377" w14:anchorId="4FB3DE1A">
          <v:shape id="_x0000_i1061" type="#_x0000_t75" style="width:54.95pt;height:18.75pt" o:ole="">
            <v:imagedata r:id="rId48" o:title=""/>
          </v:shape>
          <o:OLEObject Type="Embed" ProgID="Equation.KSEE3" ShapeID="_x0000_i1061" DrawAspect="Content" ObjectID="_1679241255" r:id="rId66"/>
        </w:object>
      </w:r>
      <w:r>
        <w:rPr>
          <w:rFonts w:ascii="Times New Roman" w:eastAsia="宋体" w:hAnsi="Times New Roman" w:cs="Times New Roman" w:hint="eastAsia"/>
          <w:i/>
          <w:iCs/>
          <w:sz w:val="20"/>
          <w:szCs w:val="20"/>
        </w:rPr>
        <w:t xml:space="preserve"> is valid and current time</w:t>
      </w:r>
      <w:r>
        <w:rPr>
          <w:rFonts w:ascii="Times New Roman" w:eastAsia="宋体" w:hAnsi="Times New Roman" w:cs="Times New Roman"/>
          <w:i/>
          <w:iCs/>
          <w:sz w:val="20"/>
          <w:szCs w:val="20"/>
        </w:rPr>
        <w:t>.</w:t>
      </w:r>
    </w:p>
    <w:p w:rsidR="009923C8" w:rsidRDefault="001447C9">
      <w:pPr>
        <w:numPr>
          <w:ilvl w:val="0"/>
          <w:numId w:val="5"/>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3265" w:dyaOrig="399" w14:anchorId="69AFC307">
          <v:shape id="_x0000_i1062" type="#_x0000_t75" alt="" style="width:163.55pt;height:20pt" o:ole="">
            <v:imagedata r:id="rId67" o:title=""/>
          </v:shape>
          <o:OLEObject Type="Embed" ProgID="Equation.KSEE3" ShapeID="_x0000_i1062" DrawAspect="Content" ObjectID="_1679241256" r:id="rId68"/>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i/>
          <w:iCs/>
          <w:position w:val="-10"/>
          <w:sz w:val="20"/>
          <w:szCs w:val="20"/>
        </w:rPr>
        <w:object w:dxaOrig="1495" w:dyaOrig="310" w14:anchorId="3BAD9A31">
          <v:shape id="_x0000_i1063" type="#_x0000_t75" style="width:74.5pt;height:15.8pt" o:ole="">
            <v:imagedata r:id="rId69" o:title=""/>
          </v:shape>
          <o:OLEObject Type="Embed" ProgID="Equation.KSEE3" ShapeID="_x0000_i1063" DrawAspect="Content" ObjectID="_1679241257" r:id="rId70"/>
        </w:object>
      </w:r>
      <w:r>
        <w:rPr>
          <w:rFonts w:ascii="Times New Roman" w:eastAsia="宋体" w:hAnsi="Times New Roman" w:cs="Times New Roman" w:hint="eastAsia"/>
          <w:i/>
          <w:iCs/>
          <w:sz w:val="20"/>
          <w:szCs w:val="20"/>
        </w:rPr>
        <w:t xml:space="preserve"> is indicated in MAC CE TA command.</w:t>
      </w:r>
    </w:p>
    <w:p w:rsidR="009923C8" w:rsidRDefault="001447C9">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frequency synchronization</w:t>
      </w:r>
    </w:p>
    <w:p w:rsidR="009923C8" w:rsidRDefault="001447C9">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RAN1#104e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indications of two types of frequency offset have been discussed. The first type is the amount of DL pre-compensation value for service link, which helps to determine the nominal TX frequency of UE and has been agreed</w:t>
      </w:r>
      <w:r>
        <w:rPr>
          <w:rFonts w:ascii="Times New Roman" w:eastAsia="宋体" w:hAnsi="Times New Roman" w:cs="Times New Roman"/>
          <w:sz w:val="20"/>
          <w:szCs w:val="20"/>
        </w:rPr>
        <w:t xml:space="preserve"> with details are FFS.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In this case, instead of indication additional information, e.g., location of ground BS, it’s prefer</w:t>
      </w:r>
      <w:r w:rsidR="008B2F8C">
        <w:rPr>
          <w:rFonts w:ascii="Times New Roman" w:eastAsia="宋体" w:hAnsi="Times New Roman" w:cs="Times New Roman"/>
          <w:sz w:val="20"/>
          <w:szCs w:val="20"/>
        </w:rPr>
        <w:t>red</w:t>
      </w:r>
      <w:r>
        <w:rPr>
          <w:rFonts w:ascii="Times New Roman" w:eastAsia="宋体" w:hAnsi="Times New Roman" w:cs="Times New Roman"/>
          <w:sz w:val="20"/>
          <w:szCs w:val="20"/>
        </w:rPr>
        <w:t xml:space="preserve"> to direct</w:t>
      </w:r>
      <w:r w:rsidR="0009612B">
        <w:rPr>
          <w:rFonts w:ascii="Times New Roman" w:eastAsia="宋体" w:hAnsi="Times New Roman" w:cs="Times New Roman"/>
          <w:sz w:val="20"/>
          <w:szCs w:val="20"/>
        </w:rPr>
        <w:t>ly</w:t>
      </w:r>
      <w:r>
        <w:rPr>
          <w:rFonts w:ascii="Times New Roman" w:eastAsia="宋体" w:hAnsi="Times New Roman" w:cs="Times New Roman"/>
          <w:sz w:val="20"/>
          <w:szCs w:val="20"/>
        </w:rPr>
        <w:t xml:space="preserve"> indicate the frequency offset, which has been applied for DL as pre-compensated value.</w:t>
      </w:r>
    </w:p>
    <w:p w:rsidR="009923C8" w:rsidRDefault="001447C9">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second type is the pre-compensation frequency offset on UL, which is indicated by BS and may be used to handle the post-compensation at gNB as claimed by several companies. However, these two types of frequency offsets actually have the same implementation, i.e., additionally added on the originally pre-compensation value estimated by UE. A uniform signaling is enough to cover these two types of frequency offsets.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_Ref13729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in order to let BS receive UL signal at nominal </w:t>
      </w:r>
      <w:r>
        <w:rPr>
          <w:rFonts w:ascii="Times New Roman" w:eastAsia="宋体" w:hAnsi="Times New Roman" w:cs="Times New Roman"/>
          <w:sz w:val="20"/>
          <w:szCs w:val="20"/>
        </w:rPr>
        <w:t>frequency</w:t>
      </w:r>
      <w:r>
        <w:rPr>
          <w:rFonts w:ascii="Times New Roman" w:eastAsia="宋体" w:hAnsi="Times New Roman" w:cs="Times New Roman" w:hint="eastAsia"/>
          <w:position w:val="-12"/>
          <w:sz w:val="20"/>
          <w:szCs w:val="20"/>
        </w:rPr>
        <w:object w:dxaOrig="1086" w:dyaOrig="366" w14:anchorId="44496A4C">
          <v:shape id="_x0000_i1064" type="#_x0000_t75" style="width:54.5pt;height:18.3pt" o:ole="">
            <v:imagedata r:id="rId71" o:title=""/>
          </v:shape>
          <o:OLEObject Type="Embed" ProgID="Equation.KSEE3" ShapeID="_x0000_i1064" DrawAspect="Content" ObjectID="_1679241258" r:id="rId72"/>
        </w:object>
      </w:r>
      <w:r>
        <w:rPr>
          <w:rFonts w:ascii="Times New Roman" w:eastAsia="宋体" w:hAnsi="Times New Roman" w:cs="Times New Roman" w:hint="eastAsia"/>
          <w:sz w:val="20"/>
          <w:szCs w:val="20"/>
        </w:rPr>
        <w:t>, the UL pre</w:t>
      </w:r>
      <w:r>
        <w:rPr>
          <w:rFonts w:ascii="Times New Roman" w:eastAsia="宋体" w:hAnsi="Times New Roman" w:cs="Times New Roman"/>
          <w:sz w:val="20"/>
          <w:szCs w:val="20"/>
        </w:rPr>
        <w:t>-</w:t>
      </w:r>
      <w:r>
        <w:rPr>
          <w:rFonts w:ascii="Times New Roman" w:eastAsia="宋体" w:hAnsi="Times New Roman" w:cs="Times New Roman" w:hint="eastAsia"/>
          <w:sz w:val="20"/>
          <w:szCs w:val="20"/>
        </w:rPr>
        <w:t>compensation should be</w:t>
      </w:r>
    </w:p>
    <w:p w:rsidR="009923C8" w:rsidRDefault="001447C9">
      <w:pPr>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3556" w:dyaOrig="377" w14:anchorId="4E30A775">
          <v:shape id="_x0000_i1065" type="#_x0000_t75" style="width:177.7pt;height:18.75pt" o:ole="">
            <v:imagedata r:id="rId73" o:title=""/>
          </v:shape>
          <o:OLEObject Type="Embed" ProgID="Equation.KSEE3" ShapeID="_x0000_i1065" DrawAspect="Content" ObjectID="_1679241259" r:id="rId74"/>
        </w:object>
      </w:r>
      <w:r>
        <w:rPr>
          <w:rFonts w:ascii="Times New Roman" w:eastAsia="宋体" w:hAnsi="Times New Roman" w:cs="Times New Roman" w:hint="eastAsia"/>
          <w:sz w:val="20"/>
          <w:szCs w:val="20"/>
        </w:rPr>
        <w:t>.</w:t>
      </w:r>
    </w:p>
    <w:p w:rsidR="009923C8" w:rsidRDefault="001447C9">
      <w:pPr>
        <w:ind w:leftChars="200" w:left="440"/>
        <w:rPr>
          <w:rFonts w:ascii="Times New Roman" w:eastAsia="宋体" w:hAnsi="Times New Roman"/>
          <w:i/>
          <w:sz w:val="20"/>
          <w:szCs w:val="20"/>
        </w:rPr>
      </w:pPr>
      <w:r>
        <w:rPr>
          <w:rFonts w:ascii="Times New Roman" w:eastAsia="宋体" w:hAnsi="Times New Roman" w:cs="Times New Roman" w:hint="eastAsia"/>
          <w:sz w:val="20"/>
          <w:szCs w:val="20"/>
        </w:rPr>
        <w:t xml:space="preserve">Obviously, </w:t>
      </w:r>
      <w:r>
        <w:rPr>
          <w:rFonts w:ascii="Times New Roman" w:eastAsia="宋体" w:hAnsi="Times New Roman" w:cs="Times New Roman"/>
          <w:sz w:val="20"/>
          <w:szCs w:val="20"/>
        </w:rPr>
        <w:t>when</w:t>
      </w:r>
      <w:r>
        <w:rPr>
          <w:rFonts w:ascii="Times New Roman" w:eastAsia="宋体" w:hAnsi="Times New Roman" w:cs="Times New Roman" w:hint="eastAsia"/>
          <w:position w:val="-14"/>
          <w:sz w:val="20"/>
          <w:szCs w:val="20"/>
        </w:rPr>
        <w:object w:dxaOrig="1662" w:dyaOrig="377" w14:anchorId="7536C34D">
          <v:shape id="_x0000_i1066" type="#_x0000_t75" style="width:83.25pt;height:18.75pt" o:ole="">
            <v:imagedata r:id="rId75" o:title=""/>
          </v:shape>
          <o:OLEObject Type="Embed" ProgID="Equation.KSEE3" ShapeID="_x0000_i1066" DrawAspect="Content" ObjectID="_1679241260" r:id="rId76"/>
        </w:object>
      </w:r>
      <w:r>
        <w:rPr>
          <w:rFonts w:ascii="Times New Roman" w:eastAsia="宋体" w:hAnsi="Times New Roman" w:cs="Times New Roman" w:hint="eastAsia"/>
          <w:sz w:val="20"/>
          <w:szCs w:val="20"/>
        </w:rPr>
        <w:t xml:space="preserve">, DL pre-compensation and UL post-compensation are canceled and there is no need to indicate any frequency offset, which has been analyzed by several companies in RAN1#104e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When</w:t>
      </w:r>
      <w:r>
        <w:rPr>
          <w:rFonts w:ascii="Times New Roman" w:eastAsia="宋体" w:hAnsi="Times New Roman" w:cs="Times New Roman" w:hint="eastAsia"/>
          <w:position w:val="-14"/>
          <w:sz w:val="20"/>
          <w:szCs w:val="20"/>
        </w:rPr>
        <w:object w:dxaOrig="1063" w:dyaOrig="377" w14:anchorId="1A90F7D8">
          <v:shape id="_x0000_i1067" type="#_x0000_t75" style="width:53.25pt;height:18.75pt" o:ole="">
            <v:imagedata r:id="rId77" o:title=""/>
          </v:shape>
          <o:OLEObject Type="Embed" ProgID="Equation.KSEE3" ShapeID="_x0000_i1067" DrawAspect="Content" ObjectID="_1679241261" r:id="rId78"/>
        </w:object>
      </w:r>
      <w:r>
        <w:rPr>
          <w:rFonts w:ascii="Times New Roman" w:eastAsia="宋体" w:hAnsi="Times New Roman" w:cs="Times New Roman" w:hint="eastAsia"/>
          <w:sz w:val="20"/>
          <w:szCs w:val="20"/>
        </w:rPr>
        <w:t xml:space="preserve">, UL post-compensation is not applied so that only indication of DL pre-compensation value is </w:t>
      </w:r>
      <w:r>
        <w:rPr>
          <w:rFonts w:ascii="Times New Roman" w:eastAsia="宋体" w:hAnsi="Times New Roman" w:cs="Times New Roman" w:hint="eastAsia"/>
          <w:position w:val="-14"/>
          <w:sz w:val="20"/>
          <w:szCs w:val="20"/>
        </w:rPr>
        <w:object w:dxaOrig="642" w:dyaOrig="377" w14:anchorId="44C09737">
          <v:shape id="_x0000_i1068" type="#_x0000_t75" style="width:32.05pt;height:18.75pt" o:ole="">
            <v:imagedata r:id="rId79" o:title=""/>
          </v:shape>
          <o:OLEObject Type="Embed" ProgID="Equation.KSEE3" ShapeID="_x0000_i1068" DrawAspect="Content" ObjectID="_1679241262" r:id="rId80"/>
        </w:object>
      </w:r>
      <w:r>
        <w:rPr>
          <w:rFonts w:ascii="Times New Roman" w:eastAsia="宋体" w:hAnsi="Times New Roman" w:cs="Times New Roman" w:hint="eastAsia"/>
          <w:sz w:val="20"/>
          <w:szCs w:val="20"/>
        </w:rPr>
        <w:t xml:space="preserve"> enough. In other cases, both DL pre-compensation value </w:t>
      </w:r>
      <w:r>
        <w:rPr>
          <w:rFonts w:ascii="Times New Roman" w:eastAsia="宋体" w:hAnsi="Times New Roman" w:cs="Times New Roman" w:hint="eastAsia"/>
          <w:position w:val="-14"/>
          <w:sz w:val="20"/>
          <w:szCs w:val="20"/>
        </w:rPr>
        <w:object w:dxaOrig="642" w:dyaOrig="377" w14:anchorId="2650BFC2">
          <v:shape id="_x0000_i1069" type="#_x0000_t75" style="width:32.05pt;height:18.75pt" o:ole="">
            <v:imagedata r:id="rId81" o:title=""/>
          </v:shape>
          <o:OLEObject Type="Embed" ProgID="Equation.KSEE3" ShapeID="_x0000_i1069" DrawAspect="Content" ObjectID="_1679241263" r:id="rId82"/>
        </w:object>
      </w:r>
      <w:r>
        <w:rPr>
          <w:rFonts w:ascii="Times New Roman" w:eastAsia="宋体" w:hAnsi="Times New Roman" w:cs="Times New Roman" w:hint="eastAsia"/>
          <w:sz w:val="20"/>
          <w:szCs w:val="20"/>
        </w:rPr>
        <w:t xml:space="preserve"> and UL post-compensation value </w:t>
      </w:r>
      <w:r>
        <w:rPr>
          <w:rFonts w:ascii="Times New Roman" w:eastAsia="宋体" w:hAnsi="Times New Roman" w:cs="Times New Roman" w:hint="eastAsia"/>
          <w:position w:val="-14"/>
          <w:sz w:val="20"/>
          <w:szCs w:val="20"/>
        </w:rPr>
        <w:object w:dxaOrig="676" w:dyaOrig="377" w14:anchorId="60FDA1C3">
          <v:shape id="_x0000_i1070" type="#_x0000_t75" style="width:33.7pt;height:18.75pt" o:ole="">
            <v:imagedata r:id="rId83" o:title=""/>
          </v:shape>
          <o:OLEObject Type="Embed" ProgID="Equation.KSEE3" ShapeID="_x0000_i1070" DrawAspect="Content" ObjectID="_1679241264" r:id="rId84"/>
        </w:object>
      </w:r>
      <w:r>
        <w:rPr>
          <w:rFonts w:ascii="Times New Roman" w:eastAsia="宋体" w:hAnsi="Times New Roman" w:cs="Times New Roman" w:hint="eastAsia"/>
          <w:sz w:val="20"/>
          <w:szCs w:val="20"/>
        </w:rPr>
        <w:t xml:space="preserve"> are required, but only one indication of </w:t>
      </w:r>
      <w:r>
        <w:rPr>
          <w:rFonts w:ascii="Times New Roman" w:eastAsia="宋体" w:hAnsi="Times New Roman" w:cs="Times New Roman" w:hint="eastAsia"/>
          <w:position w:val="-14"/>
          <w:sz w:val="20"/>
          <w:szCs w:val="20"/>
        </w:rPr>
        <w:object w:dxaOrig="1484" w:dyaOrig="377" w14:anchorId="474DD1B6">
          <v:shape id="_x0000_i1071" type="#_x0000_t75" style="width:74.5pt;height:18.75pt" o:ole="">
            <v:imagedata r:id="rId85" o:title=""/>
          </v:shape>
          <o:OLEObject Type="Embed" ProgID="Equation.KSEE3" ShapeID="_x0000_i1071" DrawAspect="Content" ObjectID="_1679241265" r:id="rId86"/>
        </w:object>
      </w:r>
      <w:r>
        <w:rPr>
          <w:rFonts w:ascii="Times New Roman" w:eastAsia="宋体" w:hAnsi="Times New Roman" w:cs="Times New Roman" w:hint="eastAsia"/>
          <w:sz w:val="20"/>
          <w:szCs w:val="20"/>
        </w:rPr>
        <w:t xml:space="preserve"> is </w:t>
      </w:r>
      <w:r w:rsidR="00A00617">
        <w:rPr>
          <w:rFonts w:ascii="Times New Roman" w:eastAsia="宋体" w:hAnsi="Times New Roman" w:cs="Times New Roman"/>
          <w:sz w:val="20"/>
          <w:szCs w:val="20"/>
        </w:rPr>
        <w:t>sufficient</w:t>
      </w:r>
      <w:bookmarkStart w:id="8" w:name="_GoBack"/>
      <w:bookmarkEnd w:id="8"/>
      <w:r>
        <w:rPr>
          <w:rFonts w:ascii="Times New Roman" w:eastAsia="宋体" w:hAnsi="Times New Roman" w:cs="Times New Roman" w:hint="eastAsia"/>
          <w:sz w:val="20"/>
          <w:szCs w:val="20"/>
        </w:rPr>
        <w:t xml:space="preserve">. </w:t>
      </w:r>
    </w:p>
    <w:p w:rsidR="009923C8" w:rsidRDefault="001447C9">
      <w:pPr>
        <w:ind w:leftChars="200" w:left="440"/>
        <w:jc w:val="center"/>
      </w:pPr>
      <w:r>
        <w:rPr>
          <w:noProof/>
        </w:rPr>
        <w:drawing>
          <wp:inline distT="0" distB="0" distL="114300" distR="114300">
            <wp:extent cx="3987165" cy="2367915"/>
            <wp:effectExtent l="0" t="0" r="0" b="0"/>
            <wp:docPr id="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8"/>
                    <pic:cNvPicPr>
                      <a:picLocks noChangeAspect="1"/>
                    </pic:cNvPicPr>
                  </pic:nvPicPr>
                  <pic:blipFill>
                    <a:blip r:embed="rId87"/>
                    <a:stretch>
                      <a:fillRect/>
                    </a:stretch>
                  </pic:blipFill>
                  <pic:spPr>
                    <a:xfrm>
                      <a:off x="0" y="0"/>
                      <a:ext cx="3991325" cy="2370823"/>
                    </a:xfrm>
                    <a:prstGeom prst="rect">
                      <a:avLst/>
                    </a:prstGeom>
                    <a:noFill/>
                    <a:ln>
                      <a:noFill/>
                    </a:ln>
                  </pic:spPr>
                </pic:pic>
              </a:graphicData>
            </a:graphic>
          </wp:inline>
        </w:drawing>
      </w:r>
    </w:p>
    <w:p w:rsidR="009923C8" w:rsidRDefault="001447C9">
      <w:pPr>
        <w:pStyle w:val="a3"/>
        <w:rPr>
          <w:lang w:val="en-US"/>
        </w:rPr>
      </w:pPr>
      <w:bookmarkStart w:id="9" w:name="_Ref13729"/>
      <w:r>
        <w:t xml:space="preserve">Figure </w:t>
      </w:r>
      <w:r>
        <w:fldChar w:fldCharType="begin"/>
      </w:r>
      <w:r>
        <w:instrText xml:space="preserve"> SEQ Figure \* ARABIC </w:instrText>
      </w:r>
      <w:r>
        <w:fldChar w:fldCharType="separate"/>
      </w:r>
      <w:r>
        <w:t>3</w:t>
      </w:r>
      <w:r>
        <w:fldChar w:fldCharType="end"/>
      </w:r>
      <w:bookmarkEnd w:id="9"/>
      <w:r>
        <w:rPr>
          <w:rFonts w:hint="eastAsia"/>
          <w:b w:val="0"/>
          <w:lang w:val="en-US"/>
        </w:rPr>
        <w:t xml:space="preserve"> Illustration of frequency after each operation</w:t>
      </w:r>
      <w:r>
        <w:rPr>
          <w:b w:val="0"/>
        </w:rPr>
        <w:t xml:space="preserve">. </w:t>
      </w:r>
    </w:p>
    <w:p w:rsidR="009923C8" w:rsidRDefault="001447C9">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Therefore, </w:t>
      </w:r>
      <w:r>
        <w:rPr>
          <w:rFonts w:ascii="Times New Roman" w:eastAsia="宋体" w:hAnsi="Times New Roman" w:cs="Times New Roman"/>
          <w:sz w:val="20"/>
          <w:szCs w:val="20"/>
        </w:rPr>
        <w:t xml:space="preserve">indication of single frequency offset, which can be applied for both UL transmission and frequency tuning among beams is preferred instead of other information. </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i/>
          <w:sz w:val="20"/>
          <w:szCs w:val="20"/>
        </w:rPr>
        <w:t xml:space="preserve">The indication of </w:t>
      </w:r>
      <w:r>
        <w:rPr>
          <w:rFonts w:ascii="Times New Roman" w:eastAsia="宋体" w:hAnsi="Times New Roman"/>
          <w:i/>
          <w:sz w:val="20"/>
          <w:szCs w:val="20"/>
        </w:rPr>
        <w:t>frequency offset is sufficient to address issues for both DL and UL.</w:t>
      </w:r>
    </w:p>
    <w:p w:rsidR="009923C8" w:rsidRDefault="001447C9">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Satellite ephemeris format</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RAN1#104e, the satellite ephemeris format was discussed</w:t>
      </w:r>
      <w:r>
        <w:rPr>
          <w:rFonts w:ascii="Times New Roman" w:eastAsia="宋体" w:hAnsi="Times New Roman" w:cs="Times New Roman"/>
          <w:sz w:val="20"/>
          <w:szCs w:val="20"/>
        </w:rPr>
        <w:t xml:space="preserve"> as following options without consensus:</w:t>
      </w:r>
    </w:p>
    <w:p w:rsidR="009923C8" w:rsidRDefault="001447C9">
      <w:pPr>
        <w:pStyle w:val="ad"/>
        <w:numPr>
          <w:ilvl w:val="0"/>
          <w:numId w:val="7"/>
        </w:numPr>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Option-1: ephemeris format based on orbital elements</w:t>
      </w:r>
    </w:p>
    <w:p w:rsidR="009923C8" w:rsidRDefault="001447C9">
      <w:pPr>
        <w:pStyle w:val="ad"/>
        <w:numPr>
          <w:ilvl w:val="0"/>
          <w:numId w:val="7"/>
        </w:numPr>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Option-2: ephemeris format based on instant state vectors with implicit time: e.g., instant position and instant velocity</w:t>
      </w:r>
    </w:p>
    <w:p w:rsidR="009923C8" w:rsidRDefault="001447C9">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two formats both work in satellite based NTN systems </w:t>
      </w:r>
      <w:r>
        <w:rPr>
          <w:rFonts w:ascii="Times New Roman" w:eastAsia="宋体" w:hAnsi="Times New Roman" w:cs="Times New Roman"/>
          <w:sz w:val="20"/>
          <w:szCs w:val="20"/>
        </w:rPr>
        <w:t xml:space="preserve">with </w:t>
      </w:r>
      <w:r>
        <w:rPr>
          <w:rFonts w:ascii="Times New Roman" w:eastAsia="宋体" w:hAnsi="Times New Roman" w:cs="Times New Roman" w:hint="eastAsia"/>
          <w:sz w:val="20"/>
          <w:szCs w:val="20"/>
        </w:rPr>
        <w:t>different advantages. In option-1, after</w:t>
      </w:r>
      <w:r>
        <w:rPr>
          <w:rFonts w:ascii="Times New Roman" w:eastAsia="宋体" w:hAnsi="Times New Roman" w:cs="Times New Roman"/>
          <w:sz w:val="20"/>
          <w:szCs w:val="20"/>
        </w:rPr>
        <w:t xml:space="preserve"> the reception of all ephemeris data, the </w:t>
      </w:r>
      <w:r>
        <w:rPr>
          <w:rFonts w:ascii="Times New Roman" w:eastAsia="宋体" w:hAnsi="Times New Roman" w:cs="Times New Roman" w:hint="eastAsia"/>
          <w:sz w:val="20"/>
          <w:szCs w:val="20"/>
        </w:rPr>
        <w:t xml:space="preserve">UE can propagate </w:t>
      </w:r>
      <w:r>
        <w:rPr>
          <w:rFonts w:ascii="Times New Roman" w:eastAsia="宋体" w:hAnsi="Times New Roman" w:cs="Times New Roman"/>
          <w:sz w:val="20"/>
          <w:szCs w:val="20"/>
        </w:rPr>
        <w:t xml:space="preserve">movement of satellite </w:t>
      </w:r>
      <w:r>
        <w:rPr>
          <w:rFonts w:ascii="Times New Roman" w:eastAsia="宋体" w:hAnsi="Times New Roman" w:cs="Times New Roman" w:hint="eastAsia"/>
          <w:sz w:val="20"/>
          <w:szCs w:val="20"/>
        </w:rPr>
        <w:t>with orbital elements and perform long term prediction on the satellite position</w:t>
      </w:r>
      <w:r>
        <w:rPr>
          <w:rFonts w:ascii="Times New Roman" w:eastAsia="宋体" w:hAnsi="Times New Roman" w:cs="Times New Roman"/>
          <w:sz w:val="20"/>
          <w:szCs w:val="20"/>
        </w:rPr>
        <w:t>. Meanwhile, with knowledge of other satellite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more benefits for RRM</w:t>
      </w:r>
      <w:r>
        <w:rPr>
          <w:rFonts w:ascii="Times New Roman" w:eastAsia="宋体" w:hAnsi="Times New Roman" w:cs="Times New Roman" w:hint="eastAsia"/>
          <w:sz w:val="20"/>
          <w:szCs w:val="20"/>
        </w:rPr>
        <w:t xml:space="preserve"> measurements and handover</w:t>
      </w:r>
      <w:r>
        <w:rPr>
          <w:rFonts w:ascii="Times New Roman" w:eastAsia="宋体" w:hAnsi="Times New Roman" w:cs="Times New Roman"/>
          <w:sz w:val="20"/>
          <w:szCs w:val="20"/>
        </w:rPr>
        <w:t xml:space="preserve"> can be achieved. </w:t>
      </w:r>
      <w:r>
        <w:rPr>
          <w:rFonts w:ascii="Times New Roman" w:eastAsia="宋体" w:hAnsi="Times New Roman" w:cs="Times New Roman" w:hint="eastAsia"/>
          <w:sz w:val="20"/>
          <w:szCs w:val="20"/>
        </w:rPr>
        <w:t>However,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signalling perspective, the indication of ephemeris in Option-1 is conducted with dedicated parameter set, e.g., orbit plane inclination as illustration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_Ref23011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Such design is unavailable to support other scenarios, e.g., HAPS</w:t>
      </w:r>
      <w:r>
        <w:rPr>
          <w:rFonts w:ascii="Times New Roman" w:eastAsia="宋体" w:hAnsi="Times New Roman" w:cs="Times New Roman" w:hint="eastAsia"/>
          <w:sz w:val="20"/>
          <w:szCs w:val="20"/>
        </w:rPr>
        <w:t>/</w:t>
      </w:r>
      <w:r>
        <w:rPr>
          <w:rFonts w:ascii="Times New Roman" w:eastAsia="宋体" w:hAnsi="Times New Roman" w:cs="Times New Roman"/>
          <w:sz w:val="20"/>
          <w:szCs w:val="20"/>
        </w:rPr>
        <w:t>ATG, since the movement of such platform or position will not follow the parameterized indication instead of directly indication of PV (T).</w:t>
      </w:r>
      <w:r>
        <w:rPr>
          <w:rFonts w:ascii="Times New Roman" w:eastAsia="宋体" w:hAnsi="Times New Roman" w:cs="Times New Roman" w:hint="eastAsia"/>
          <w:sz w:val="20"/>
          <w:szCs w:val="20"/>
        </w:rPr>
        <w:t xml:space="preserve"> In implementation, the position and velocity of satellite are expressed as ECEF coordinates and formulated as a state vector. Then, the PV state vector is quantified and broadcast in SIB. While the time reference can be implicitly indicated as the boundary of frames that containing broadcast PV information. </w:t>
      </w:r>
    </w:p>
    <w:p w:rsidR="009923C8" w:rsidRDefault="001447C9">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eastAsia="宋体" w:hAnsi="Times New Roman" w:hint="eastAsia"/>
          <w:i/>
          <w:sz w:val="20"/>
          <w:szCs w:val="20"/>
        </w:rPr>
        <w:t>Ephemeris format based on instant state vectors with implicit time should be at least supported</w:t>
      </w:r>
      <w:r>
        <w:rPr>
          <w:rFonts w:ascii="Times New Roman" w:eastAsia="宋体" w:hAnsi="Times New Roman"/>
          <w:i/>
          <w:sz w:val="20"/>
          <w:szCs w:val="20"/>
        </w:rPr>
        <w:t>.</w:t>
      </w:r>
    </w:p>
    <w:p w:rsidR="009923C8" w:rsidRDefault="001447C9">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9923C8" w:rsidRDefault="001447C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w:t>
      </w:r>
    </w:p>
    <w:p w:rsidR="009923C8" w:rsidRDefault="001447C9">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Pr>
          <w:rFonts w:ascii="Times New Roman" w:eastAsia="宋体" w:hAnsi="Times New Roman" w:hint="eastAsia"/>
          <w:i/>
          <w:sz w:val="20"/>
          <w:szCs w:val="20"/>
        </w:rPr>
        <w:t xml:space="preserve">When the accuracy requirement for autonomous pre-compensation is high enough, the interference caused by TA uncertainty is </w:t>
      </w:r>
      <w:r w:rsidR="006E381A">
        <w:rPr>
          <w:rFonts w:ascii="Times New Roman" w:eastAsia="宋体" w:hAnsi="Times New Roman"/>
          <w:i/>
          <w:sz w:val="20"/>
          <w:szCs w:val="20"/>
        </w:rPr>
        <w:t>negligible</w:t>
      </w:r>
      <w:r>
        <w:rPr>
          <w:rFonts w:ascii="Times New Roman" w:eastAsia="宋体" w:hAnsi="Times New Roman" w:hint="eastAsia"/>
          <w:i/>
          <w:sz w:val="20"/>
          <w:szCs w:val="20"/>
        </w:rPr>
        <w: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The indication of common TA should always be assumed.</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hint="eastAsia"/>
          <w:i/>
          <w:position w:val="-12"/>
          <w:sz w:val="20"/>
          <w:szCs w:val="20"/>
        </w:rPr>
        <w:object w:dxaOrig="1196" w:dyaOrig="354" w14:anchorId="12059B32">
          <v:shape id="_x0000_i1072" type="#_x0000_t75" style="width:59.95pt;height:17.5pt" o:ole="">
            <v:imagedata r:id="rId22" o:title=""/>
          </v:shape>
          <o:OLEObject Type="Embed" ProgID="Equation.KSEE3" ShapeID="_x0000_i1072" DrawAspect="Content" ObjectID="_1679241266" r:id="rId88"/>
        </w:object>
      </w:r>
      <w:r>
        <w:rPr>
          <w:rFonts w:ascii="Times New Roman" w:eastAsia="宋体" w:hAnsi="Times New Roman"/>
          <w:i/>
          <w:sz w:val="20"/>
          <w:szCs w:val="20"/>
        </w:rPr>
        <w: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3: </w:t>
      </w:r>
      <w:r>
        <w:rPr>
          <w:rFonts w:ascii="Times New Roman" w:eastAsia="宋体" w:hAnsi="Times New Roman"/>
          <w:i/>
          <w:sz w:val="20"/>
          <w:szCs w:val="20"/>
        </w:rPr>
        <w:t xml:space="preserve">Indication of common </w:t>
      </w:r>
      <w:r>
        <w:rPr>
          <w:rFonts w:ascii="Times New Roman" w:eastAsia="宋体" w:hAnsi="Times New Roman" w:hint="eastAsia"/>
          <w:i/>
          <w:sz w:val="20"/>
          <w:szCs w:val="20"/>
        </w:rPr>
        <w:t xml:space="preserve">TA </w:t>
      </w:r>
      <w:r>
        <w:rPr>
          <w:rFonts w:ascii="Times New Roman" w:eastAsia="宋体" w:hAnsi="Times New Roman"/>
          <w:i/>
          <w:sz w:val="20"/>
          <w:szCs w:val="20"/>
        </w:rPr>
        <w:t xml:space="preserve">drift rate should be supported to assist TA </w:t>
      </w:r>
      <w:r>
        <w:rPr>
          <w:rFonts w:ascii="Times New Roman" w:eastAsia="宋体" w:hAnsi="Times New Roman" w:hint="eastAsia"/>
          <w:i/>
          <w:sz w:val="20"/>
          <w:szCs w:val="20"/>
        </w:rPr>
        <w:t>adjustment.</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eastAsia="宋体" w:hAnsi="Times New Roman" w:hint="eastAsia"/>
          <w:i/>
          <w:sz w:val="20"/>
          <w:szCs w:val="20"/>
        </w:rPr>
        <w:t>Postpone the discussion on TA margin until RAN4 determines time synchronization requirements.</w:t>
      </w:r>
    </w:p>
    <w:p w:rsidR="00202971" w:rsidRDefault="00202971" w:rsidP="00202971">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宋体" w:hAnsi="Times New Roman" w:hint="eastAsia"/>
          <w:i/>
          <w:sz w:val="20"/>
          <w:szCs w:val="20"/>
        </w:rPr>
        <w:t xml:space="preserve">If TA margin is </w:t>
      </w:r>
      <w:r>
        <w:rPr>
          <w:rFonts w:ascii="Times New Roman" w:eastAsia="宋体" w:hAnsi="Times New Roman"/>
          <w:i/>
          <w:sz w:val="20"/>
          <w:szCs w:val="20"/>
        </w:rPr>
        <w:t>needed</w:t>
      </w:r>
      <w:r>
        <w:rPr>
          <w:rFonts w:ascii="Times New Roman" w:eastAsia="宋体" w:hAnsi="Times New Roman" w:hint="eastAsia"/>
          <w:i/>
          <w:sz w:val="20"/>
          <w:szCs w:val="20"/>
        </w:rPr>
        <w:t>, it should be absorbed in common TA to save signaling.</w:t>
      </w:r>
    </w:p>
    <w:p w:rsidR="009923C8" w:rsidRDefault="001447C9">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hint="eastAsia"/>
          <w:i/>
          <w:sz w:val="20"/>
          <w:szCs w:val="20"/>
        </w:rPr>
        <w:t xml:space="preserve">In RRC_CONNECTED state, if the expression of applied TA </w:t>
      </w:r>
      <w:r>
        <w:rPr>
          <w:rFonts w:ascii="Times New Roman" w:eastAsia="宋体" w:hAnsi="Times New Roman"/>
          <w:i/>
          <w:sz w:val="20"/>
          <w:szCs w:val="20"/>
        </w:rPr>
        <w:t>determined as</w:t>
      </w:r>
      <w:r>
        <w:rPr>
          <w:rFonts w:ascii="Times New Roman" w:eastAsia="宋体" w:hAnsi="Times New Roman" w:hint="eastAsia"/>
          <w:i/>
          <w:sz w:val="20"/>
          <w:szCs w:val="20"/>
        </w:rPr>
        <w:t>:</w:t>
      </w:r>
    </w:p>
    <w:p w:rsidR="009923C8" w:rsidRDefault="001447C9">
      <w:pPr>
        <w:pStyle w:val="ad"/>
        <w:ind w:left="420" w:firstLineChars="0" w:firstLine="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841" w:dyaOrig="377" w14:anchorId="55324636">
          <v:shape id="_x0000_i1073" type="#_x0000_t75" style="width:242.2pt;height:18.75pt" o:ole="">
            <v:imagedata r:id="rId31" o:title=""/>
          </v:shape>
          <o:OLEObject Type="Embed" ProgID="Equation.KSEE3" ShapeID="_x0000_i1073" DrawAspect="Content" ObjectID="_1679241267" r:id="rId89"/>
        </w:object>
      </w:r>
      <w:r>
        <w:rPr>
          <w:rFonts w:ascii="Times New Roman" w:eastAsia="宋体" w:hAnsi="Times New Roman" w:cs="Times New Roman" w:hint="eastAsia"/>
          <w:sz w:val="20"/>
          <w:szCs w:val="20"/>
        </w:rPr>
        <w:t>,</w:t>
      </w:r>
    </w:p>
    <w:p w:rsidR="009923C8" w:rsidRDefault="001447C9">
      <w:pPr>
        <w:pStyle w:val="ad"/>
        <w:ind w:left="420" w:firstLineChars="0" w:firstLine="0"/>
        <w:rPr>
          <w:rFonts w:ascii="Times New Roman" w:eastAsia="宋体" w:hAnsi="Times New Roman" w:cs="Times New Roman"/>
          <w:i/>
          <w:iCs/>
          <w:sz w:val="20"/>
          <w:szCs w:val="20"/>
        </w:rPr>
      </w:pPr>
      <w:r>
        <w:rPr>
          <w:rFonts w:ascii="Times New Roman" w:eastAsia="宋体" w:hAnsi="Times New Roman" w:cs="Times New Roman"/>
          <w:i/>
          <w:iCs/>
          <w:sz w:val="20"/>
          <w:szCs w:val="20"/>
        </w:rPr>
        <w:t>where</w:t>
      </w:r>
    </w:p>
    <w:p w:rsidR="009923C8" w:rsidRDefault="001447C9">
      <w:pPr>
        <w:numPr>
          <w:ilvl w:val="0"/>
          <w:numId w:val="5"/>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342" w:dyaOrig="377" w14:anchorId="46979E3B">
          <v:shape id="_x0000_i1074" type="#_x0000_t75" style="width:217.25pt;height:18.75pt" o:ole="">
            <v:imagedata r:id="rId90" o:title=""/>
          </v:shape>
          <o:OLEObject Type="Embed" ProgID="Equation.KSEE3" ShapeID="_x0000_i1074" DrawAspect="Content" ObjectID="_1679241268" r:id="rId91"/>
        </w:object>
      </w:r>
      <w:r>
        <w:rPr>
          <w:rFonts w:ascii="Times New Roman" w:hAnsi="Times New Roman" w:cs="Times New Roman" w:hint="eastAsia"/>
          <w:i/>
          <w:iCs/>
          <w:sz w:val="20"/>
          <w:szCs w:val="20"/>
        </w:rPr>
        <w:t xml:space="preserve">, </w:t>
      </w:r>
      <w:r>
        <w:rPr>
          <w:rFonts w:ascii="Times New Roman" w:eastAsia="宋体" w:hAnsi="Times New Roman" w:cs="Times New Roman" w:hint="eastAsia"/>
          <w:position w:val="-14"/>
          <w:sz w:val="20"/>
          <w:szCs w:val="20"/>
        </w:rPr>
        <w:object w:dxaOrig="1296" w:dyaOrig="377" w14:anchorId="4F91C0CB">
          <v:shape id="_x0000_i1075" type="#_x0000_t75" style="width:64.9pt;height:18.75pt" o:ole="">
            <v:imagedata r:id="rId39" o:title=""/>
          </v:shape>
          <o:OLEObject Type="Embed" ProgID="Equation.KSEE3" ShapeID="_x0000_i1075" DrawAspect="Content" ObjectID="_1679241269" r:id="rId92"/>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estimated by UE based on </w:t>
      </w:r>
      <w:r>
        <w:rPr>
          <w:rFonts w:ascii="Times New Roman" w:eastAsia="宋体" w:hAnsi="Times New Roman" w:cs="Times New Roman"/>
          <w:i/>
          <w:iCs/>
          <w:sz w:val="20"/>
          <w:szCs w:val="20"/>
        </w:rPr>
        <w:t>GNSS and indicated information</w:t>
      </w:r>
      <w:r>
        <w:rPr>
          <w:rFonts w:ascii="Times New Roman" w:hAnsi="Times New Roman" w:cs="Times New Roman"/>
          <w:i/>
          <w:iCs/>
          <w:sz w:val="20"/>
          <w:szCs w:val="20"/>
        </w:rPr>
        <w:t>.</w:t>
      </w:r>
    </w:p>
    <w:p w:rsidR="009923C8" w:rsidRDefault="001447C9">
      <w:pPr>
        <w:pStyle w:val="ad"/>
        <w:numPr>
          <w:ilvl w:val="0"/>
          <w:numId w:val="5"/>
        </w:numPr>
        <w:spacing w:after="0" w:line="240" w:lineRule="auto"/>
        <w:ind w:left="72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242" w:dyaOrig="377" w14:anchorId="4F3B5AF9">
          <v:shape id="_x0000_i1076" type="#_x0000_t75" style="width:212.25pt;height:18.75pt" o:ole="">
            <v:imagedata r:id="rId93" o:title=""/>
          </v:shape>
          <o:OLEObject Type="Embed" ProgID="Equation.KSEE3" ShapeID="_x0000_i1076" DrawAspect="Content" ObjectID="_1679241270" r:id="rId94"/>
        </w:object>
      </w:r>
      <w:r>
        <w:rPr>
          <w:rFonts w:ascii="Times New Roman" w:eastAsia="宋体" w:hAnsi="Times New Roman" w:cs="Times New Roman" w:hint="eastAsia"/>
          <w:sz w:val="20"/>
          <w:szCs w:val="20"/>
        </w:rPr>
        <w:t>,</w:t>
      </w:r>
      <w:r>
        <w:rPr>
          <w:rFonts w:hint="eastAsia"/>
          <w:kern w:val="2"/>
          <w:sz w:val="21"/>
        </w:rPr>
        <w:t xml:space="preserve"> </w:t>
      </w:r>
      <w:r>
        <w:rPr>
          <w:rFonts w:ascii="Times New Roman" w:eastAsia="宋体" w:hAnsi="Times New Roman" w:cs="Times New Roman" w:hint="eastAsia"/>
          <w:position w:val="-14"/>
          <w:sz w:val="20"/>
          <w:szCs w:val="20"/>
        </w:rPr>
        <w:object w:dxaOrig="1241" w:dyaOrig="377" w14:anchorId="3FE9B1E7">
          <v:shape id="_x0000_i1077" type="#_x0000_t75" style="width:62pt;height:18.75pt" o:ole="">
            <v:imagedata r:id="rId44" o:title=""/>
          </v:shape>
          <o:OLEObject Type="Embed" ProgID="Equation.KSEE3" ShapeID="_x0000_i1077" DrawAspect="Content" ObjectID="_1679241271" r:id="rId95"/>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i/>
          <w:iCs/>
          <w:sz w:val="20"/>
          <w:szCs w:val="20"/>
        </w:rPr>
        <w:t xml:space="preserve">is the common TA drift rate indicated by BS, and </w:t>
      </w:r>
      <w:r>
        <w:rPr>
          <w:rFonts w:ascii="Times New Roman" w:eastAsia="宋体" w:hAnsi="Times New Roman" w:cs="Times New Roman" w:hint="eastAsia"/>
          <w:i/>
          <w:iCs/>
          <w:position w:val="-6"/>
          <w:sz w:val="20"/>
          <w:szCs w:val="20"/>
        </w:rPr>
        <w:object w:dxaOrig="299" w:dyaOrig="277" w14:anchorId="153E7DD3">
          <v:shape id="_x0000_i1078" type="#_x0000_t75" style="width:15pt;height:13.75pt" o:ole="">
            <v:imagedata r:id="rId46" o:title=""/>
          </v:shape>
          <o:OLEObject Type="Embed" ProgID="Equation.KSEE3" ShapeID="_x0000_i1078" DrawAspect="Content" ObjectID="_1679241272" r:id="rId96"/>
        </w:object>
      </w:r>
      <w:r>
        <w:rPr>
          <w:rFonts w:ascii="Times New Roman" w:eastAsia="宋体" w:hAnsi="Times New Roman" w:cs="Times New Roman" w:hint="eastAsia"/>
          <w:i/>
          <w:iCs/>
          <w:sz w:val="20"/>
          <w:szCs w:val="20"/>
        </w:rPr>
        <w:t xml:space="preserve"> is the interval between the time when </w:t>
      </w:r>
      <w:r>
        <w:rPr>
          <w:rFonts w:ascii="Times New Roman" w:eastAsia="宋体" w:hAnsi="Times New Roman" w:cs="Times New Roman" w:hint="eastAsia"/>
          <w:i/>
          <w:iCs/>
          <w:position w:val="-14"/>
          <w:sz w:val="20"/>
          <w:szCs w:val="20"/>
        </w:rPr>
        <w:object w:dxaOrig="1097" w:dyaOrig="377" w14:anchorId="678B2E03">
          <v:shape id="_x0000_i1079" type="#_x0000_t75" style="width:54.95pt;height:18.75pt" o:ole="">
            <v:imagedata r:id="rId48" o:title=""/>
          </v:shape>
          <o:OLEObject Type="Embed" ProgID="Equation.KSEE3" ShapeID="_x0000_i1079" DrawAspect="Content" ObjectID="_1679241273" r:id="rId97"/>
        </w:object>
      </w:r>
      <w:r>
        <w:rPr>
          <w:rFonts w:ascii="Times New Roman" w:eastAsia="宋体" w:hAnsi="Times New Roman" w:cs="Times New Roman" w:hint="eastAsia"/>
          <w:i/>
          <w:iCs/>
          <w:sz w:val="20"/>
          <w:szCs w:val="20"/>
        </w:rPr>
        <w:t xml:space="preserve"> is valid and current time</w:t>
      </w:r>
      <w:r>
        <w:rPr>
          <w:rFonts w:ascii="Times New Roman" w:eastAsia="宋体" w:hAnsi="Times New Roman" w:cs="Times New Roman"/>
          <w:i/>
          <w:iCs/>
          <w:sz w:val="20"/>
          <w:szCs w:val="20"/>
        </w:rPr>
        <w:t>.</w:t>
      </w:r>
    </w:p>
    <w:p w:rsidR="009923C8" w:rsidRDefault="001447C9">
      <w:pPr>
        <w:numPr>
          <w:ilvl w:val="0"/>
          <w:numId w:val="5"/>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3445" w:dyaOrig="399" w14:anchorId="0F643ADC">
          <v:shape id="_x0000_i1080" type="#_x0000_t75" style="width:171.9pt;height:20pt" o:ole="">
            <v:imagedata r:id="rId98" o:title=""/>
          </v:shape>
          <o:OLEObject Type="Embed" ProgID="Equation.KSEE3" ShapeID="_x0000_i1080" DrawAspect="Content" ObjectID="_1679241274" r:id="rId99"/>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i/>
          <w:iCs/>
          <w:position w:val="-10"/>
          <w:sz w:val="20"/>
          <w:szCs w:val="20"/>
        </w:rPr>
        <w:object w:dxaOrig="1495" w:dyaOrig="310" w14:anchorId="67CB4BEB">
          <v:shape id="_x0000_i1081" type="#_x0000_t75" style="width:74.5pt;height:15.8pt" o:ole="">
            <v:imagedata r:id="rId69" o:title=""/>
          </v:shape>
          <o:OLEObject Type="Embed" ProgID="Equation.KSEE3" ShapeID="_x0000_i1081" DrawAspect="Content" ObjectID="_1679241275" r:id="rId100"/>
        </w:object>
      </w:r>
      <w:r>
        <w:rPr>
          <w:rFonts w:ascii="Times New Roman" w:eastAsia="宋体" w:hAnsi="Times New Roman" w:cs="Times New Roman" w:hint="eastAsia"/>
          <w:i/>
          <w:iCs/>
          <w:sz w:val="20"/>
          <w:szCs w:val="20"/>
        </w:rPr>
        <w:t xml:space="preserve"> is indicated in MAC CE TA command.</w:t>
      </w:r>
    </w:p>
    <w:p w:rsidR="009923C8" w:rsidRDefault="001447C9">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i/>
          <w:sz w:val="20"/>
          <w:szCs w:val="20"/>
        </w:rPr>
        <w:t xml:space="preserve">The indication of </w:t>
      </w:r>
      <w:r>
        <w:rPr>
          <w:rFonts w:ascii="Times New Roman" w:eastAsia="宋体" w:hAnsi="Times New Roman"/>
          <w:i/>
          <w:sz w:val="20"/>
          <w:szCs w:val="20"/>
        </w:rPr>
        <w:t>frequency offset is sufficient to address issues for both DL and UL.</w:t>
      </w:r>
    </w:p>
    <w:p w:rsidR="009923C8" w:rsidRDefault="001447C9">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eastAsia="宋体" w:hAnsi="Times New Roman" w:hint="eastAsia"/>
          <w:i/>
          <w:sz w:val="20"/>
          <w:szCs w:val="20"/>
        </w:rPr>
        <w:t>Ephemeris format based on instant state vectors with implicit time should be at least supported</w:t>
      </w:r>
      <w:r>
        <w:rPr>
          <w:rFonts w:ascii="Times New Roman" w:eastAsia="宋体" w:hAnsi="Times New Roman"/>
          <w:i/>
          <w:sz w:val="20"/>
          <w:szCs w:val="20"/>
        </w:rPr>
        <w:t>.</w:t>
      </w:r>
    </w:p>
    <w:p w:rsidR="009923C8" w:rsidRDefault="001447C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9923C8" w:rsidRDefault="001447C9">
      <w:pPr>
        <w:pStyle w:val="ListParagraph1"/>
        <w:numPr>
          <w:ilvl w:val="0"/>
          <w:numId w:val="8"/>
        </w:numPr>
        <w:spacing w:after="0" w:line="240" w:lineRule="auto"/>
        <w:ind w:left="505" w:hanging="505"/>
        <w:rPr>
          <w:rFonts w:ascii="Times New Roman" w:hAnsi="Times New Roman"/>
          <w:sz w:val="20"/>
          <w:szCs w:val="20"/>
        </w:rPr>
      </w:pPr>
      <w:bookmarkStart w:id="10" w:name="_Ref40282619"/>
      <w:r>
        <w:rPr>
          <w:rFonts w:ascii="Times New Roman" w:hAnsi="Times New Roman" w:hint="eastAsia"/>
          <w:sz w:val="20"/>
          <w:szCs w:val="20"/>
        </w:rPr>
        <w:t>R1-2102193 Session notes for 8.4 (Solutions for NR to support non-terrestrial networks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bookmarkEnd w:id="10"/>
      <w:r>
        <w:rPr>
          <w:rFonts w:ascii="Times New Roman" w:hAnsi="Times New Roman" w:hint="eastAsia"/>
          <w:sz w:val="20"/>
          <w:szCs w:val="20"/>
        </w:rPr>
        <w:t>104e</w:t>
      </w:r>
    </w:p>
    <w:p w:rsidR="009923C8" w:rsidRDefault="001447C9">
      <w:pPr>
        <w:pStyle w:val="ListParagraph1"/>
        <w:numPr>
          <w:ilvl w:val="0"/>
          <w:numId w:val="8"/>
        </w:numPr>
        <w:spacing w:after="0" w:line="240" w:lineRule="auto"/>
        <w:ind w:left="505" w:hanging="505"/>
        <w:rPr>
          <w:rFonts w:ascii="Times New Roman" w:hAnsi="Times New Roman"/>
          <w:sz w:val="20"/>
          <w:szCs w:val="20"/>
        </w:rPr>
      </w:pPr>
      <w:bookmarkStart w:id="11" w:name="_Ref32552"/>
      <w:r>
        <w:rPr>
          <w:rFonts w:ascii="Times New Roman" w:hAnsi="Times New Roman" w:hint="eastAsia"/>
          <w:sz w:val="20"/>
          <w:szCs w:val="20"/>
        </w:rPr>
        <w:t>R1-2102215 FL Summary on enhancements on UL time and frequency synchronization for NR</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104e</w:t>
      </w:r>
      <w:bookmarkEnd w:id="11"/>
    </w:p>
    <w:p w:rsidR="009923C8" w:rsidRDefault="001447C9">
      <w:pPr>
        <w:pStyle w:val="ListParagraph1"/>
        <w:numPr>
          <w:ilvl w:val="0"/>
          <w:numId w:val="8"/>
        </w:numPr>
        <w:spacing w:after="0" w:line="240" w:lineRule="auto"/>
        <w:ind w:left="505" w:hanging="505"/>
        <w:rPr>
          <w:rFonts w:ascii="Times New Roman" w:hAnsi="Times New Roman"/>
          <w:sz w:val="20"/>
          <w:szCs w:val="20"/>
        </w:rPr>
      </w:pPr>
      <w:bookmarkStart w:id="12" w:name="_Ref23011"/>
      <w:r>
        <w:rPr>
          <w:rFonts w:ascii="Times New Roman" w:hAnsi="Times New Roman" w:hint="eastAsia"/>
          <w:sz w:val="20"/>
          <w:szCs w:val="20"/>
        </w:rPr>
        <w:lastRenderedPageBreak/>
        <w:t>R1-1904765 Considerations on the simulation assumption and methodology for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96bis</w:t>
      </w:r>
      <w:bookmarkEnd w:id="12"/>
    </w:p>
    <w:p w:rsidR="009923C8" w:rsidRDefault="001447C9">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b/>
          <w:bCs/>
          <w:sz w:val="28"/>
          <w:szCs w:val="30"/>
          <w:lang w:val="en-US"/>
        </w:rPr>
        <w:t>Appendix</w:t>
      </w:r>
    </w:p>
    <w:p w:rsidR="009923C8" w:rsidRDefault="001447C9">
      <w:pPr>
        <w:pStyle w:val="a3"/>
        <w:spacing w:before="240"/>
        <w:rPr>
          <w:rFonts w:eastAsiaTheme="minorEastAsia"/>
          <w:b w:val="0"/>
          <w:lang w:val="en-US"/>
        </w:rPr>
      </w:pPr>
      <w:bookmarkStart w:id="13" w:name="_Ref2795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13"/>
      <w:r>
        <w:rPr>
          <w:rFonts w:hint="eastAsia"/>
          <w:b w:val="0"/>
          <w:lang w:val="en-US"/>
        </w:rPr>
        <w:t xml:space="preserve"> Simulation parameters for TA overestimation</w:t>
      </w:r>
    </w:p>
    <w:tbl>
      <w:tblPr>
        <w:tblW w:w="6000" w:type="dxa"/>
        <w:jc w:val="center"/>
        <w:tblLayout w:type="fixed"/>
        <w:tblCellMar>
          <w:left w:w="0" w:type="dxa"/>
          <w:right w:w="0" w:type="dxa"/>
        </w:tblCellMar>
        <w:tblLook w:val="04A0" w:firstRow="1" w:lastRow="0" w:firstColumn="1" w:lastColumn="0" w:noHBand="0" w:noVBand="1"/>
      </w:tblPr>
      <w:tblGrid>
        <w:gridCol w:w="2640"/>
        <w:gridCol w:w="3360"/>
      </w:tblGrid>
      <w:tr w:rsidR="009923C8">
        <w:trPr>
          <w:trHeight w:val="315"/>
          <w:jc w:val="center"/>
        </w:trPr>
        <w:tc>
          <w:tcPr>
            <w:tcW w:w="2640"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F</w:t>
            </w:r>
            <w:r>
              <w:rPr>
                <w:rFonts w:ascii="Times New Roman" w:eastAsia="宋体" w:hAnsi="Times New Roman" w:cs="Times New Roman"/>
                <w:color w:val="000000"/>
                <w:sz w:val="16"/>
                <w:szCs w:val="16"/>
              </w:rPr>
              <w:t>requency band</w:t>
            </w:r>
          </w:p>
        </w:tc>
        <w:tc>
          <w:tcPr>
            <w:tcW w:w="336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Ka-band</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Channel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TDL</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Rx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SCS (kHz)</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120</w:t>
            </w:r>
          </w:p>
        </w:tc>
      </w:tr>
      <w:tr w:rsidR="009923C8">
        <w:trPr>
          <w:trHeight w:val="90"/>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MCS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bandwidth (PRB)</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start position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8</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length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6</w:t>
            </w:r>
          </w:p>
        </w:tc>
      </w:tr>
      <w:tr w:rsidR="009923C8">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PRACH overestimation (ns)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923C8" w:rsidRDefault="001447C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439.45</w:t>
            </w:r>
          </w:p>
        </w:tc>
      </w:tr>
    </w:tbl>
    <w:p w:rsidR="009923C8" w:rsidRDefault="009923C8">
      <w:pPr>
        <w:pStyle w:val="ListParagraph1"/>
        <w:numPr>
          <w:ilvl w:val="255"/>
          <w:numId w:val="0"/>
        </w:numPr>
        <w:spacing w:after="0" w:line="20" w:lineRule="exact"/>
        <w:ind w:left="720"/>
        <w:rPr>
          <w:rFonts w:ascii="Times New Roman" w:hAnsi="Times New Roman"/>
          <w:sz w:val="20"/>
          <w:szCs w:val="20"/>
        </w:rPr>
      </w:pPr>
    </w:p>
    <w:sectPr w:rsidR="009923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53B" w:rsidRDefault="0034553B" w:rsidP="006E409B">
      <w:pPr>
        <w:spacing w:after="0" w:line="240" w:lineRule="auto"/>
      </w:pPr>
      <w:r>
        <w:separator/>
      </w:r>
    </w:p>
  </w:endnote>
  <w:endnote w:type="continuationSeparator" w:id="0">
    <w:p w:rsidR="0034553B" w:rsidRDefault="0034553B" w:rsidP="006E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53B" w:rsidRDefault="0034553B" w:rsidP="006E409B">
      <w:pPr>
        <w:spacing w:after="0" w:line="240" w:lineRule="auto"/>
      </w:pPr>
      <w:r>
        <w:separator/>
      </w:r>
    </w:p>
  </w:footnote>
  <w:footnote w:type="continuationSeparator" w:id="0">
    <w:p w:rsidR="0034553B" w:rsidRDefault="0034553B" w:rsidP="006E40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1DDCAE"/>
    <w:multiLevelType w:val="singleLevel"/>
    <w:tmpl w:val="CD1DDCAE"/>
    <w:lvl w:ilvl="0">
      <w:start w:val="1"/>
      <w:numFmt w:val="decimal"/>
      <w:lvlText w:val="%1."/>
      <w:lvlJc w:val="left"/>
      <w:pPr>
        <w:tabs>
          <w:tab w:val="left" w:pos="420"/>
        </w:tabs>
        <w:ind w:left="845" w:hanging="425"/>
      </w:pPr>
      <w:rPr>
        <w:rFont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6F5"/>
    <w:rsid w:val="00004E88"/>
    <w:rsid w:val="00005B14"/>
    <w:rsid w:val="00010179"/>
    <w:rsid w:val="00015039"/>
    <w:rsid w:val="00015132"/>
    <w:rsid w:val="00021434"/>
    <w:rsid w:val="00021AAE"/>
    <w:rsid w:val="00022E51"/>
    <w:rsid w:val="0002404A"/>
    <w:rsid w:val="000255C7"/>
    <w:rsid w:val="00026E46"/>
    <w:rsid w:val="000305EC"/>
    <w:rsid w:val="0003439E"/>
    <w:rsid w:val="00036AFC"/>
    <w:rsid w:val="00040044"/>
    <w:rsid w:val="0004019D"/>
    <w:rsid w:val="00042798"/>
    <w:rsid w:val="00043AF2"/>
    <w:rsid w:val="00044F8D"/>
    <w:rsid w:val="00046E70"/>
    <w:rsid w:val="00046EC1"/>
    <w:rsid w:val="00052ACC"/>
    <w:rsid w:val="00053670"/>
    <w:rsid w:val="00054B9E"/>
    <w:rsid w:val="0005556D"/>
    <w:rsid w:val="0005679C"/>
    <w:rsid w:val="000600A4"/>
    <w:rsid w:val="000630EA"/>
    <w:rsid w:val="0006445C"/>
    <w:rsid w:val="00064C14"/>
    <w:rsid w:val="00066E94"/>
    <w:rsid w:val="00067072"/>
    <w:rsid w:val="000707AD"/>
    <w:rsid w:val="00074CEC"/>
    <w:rsid w:val="000771C3"/>
    <w:rsid w:val="00082E56"/>
    <w:rsid w:val="00085425"/>
    <w:rsid w:val="0008799A"/>
    <w:rsid w:val="0009076A"/>
    <w:rsid w:val="00091DB0"/>
    <w:rsid w:val="000929D3"/>
    <w:rsid w:val="0009612B"/>
    <w:rsid w:val="00096412"/>
    <w:rsid w:val="00096975"/>
    <w:rsid w:val="00097080"/>
    <w:rsid w:val="00097C29"/>
    <w:rsid w:val="000A0C3E"/>
    <w:rsid w:val="000A0C91"/>
    <w:rsid w:val="000A289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24E2"/>
    <w:rsid w:val="000D2FFB"/>
    <w:rsid w:val="000D35D7"/>
    <w:rsid w:val="000D43F4"/>
    <w:rsid w:val="000D5861"/>
    <w:rsid w:val="000D598F"/>
    <w:rsid w:val="000E4EF8"/>
    <w:rsid w:val="000E50B9"/>
    <w:rsid w:val="000E6592"/>
    <w:rsid w:val="000E65C2"/>
    <w:rsid w:val="000E7075"/>
    <w:rsid w:val="000F22A0"/>
    <w:rsid w:val="000F2DCC"/>
    <w:rsid w:val="000F4FB7"/>
    <w:rsid w:val="000F504F"/>
    <w:rsid w:val="000F58D7"/>
    <w:rsid w:val="000F7322"/>
    <w:rsid w:val="000F785C"/>
    <w:rsid w:val="00102955"/>
    <w:rsid w:val="001030E2"/>
    <w:rsid w:val="00103ADE"/>
    <w:rsid w:val="001042A2"/>
    <w:rsid w:val="001053A6"/>
    <w:rsid w:val="001140B1"/>
    <w:rsid w:val="001164E7"/>
    <w:rsid w:val="001175A0"/>
    <w:rsid w:val="0011771D"/>
    <w:rsid w:val="00117825"/>
    <w:rsid w:val="00120E8A"/>
    <w:rsid w:val="0012343B"/>
    <w:rsid w:val="00123A6A"/>
    <w:rsid w:val="001277FA"/>
    <w:rsid w:val="00127950"/>
    <w:rsid w:val="0013220A"/>
    <w:rsid w:val="001366F7"/>
    <w:rsid w:val="001369F6"/>
    <w:rsid w:val="001401D1"/>
    <w:rsid w:val="00140AE4"/>
    <w:rsid w:val="0014136C"/>
    <w:rsid w:val="0014315C"/>
    <w:rsid w:val="001447C9"/>
    <w:rsid w:val="001455B4"/>
    <w:rsid w:val="00145BE8"/>
    <w:rsid w:val="00152B82"/>
    <w:rsid w:val="00152E17"/>
    <w:rsid w:val="00153DFD"/>
    <w:rsid w:val="00163958"/>
    <w:rsid w:val="00163E3A"/>
    <w:rsid w:val="001645E4"/>
    <w:rsid w:val="00164C6C"/>
    <w:rsid w:val="00165036"/>
    <w:rsid w:val="00166848"/>
    <w:rsid w:val="00166EF0"/>
    <w:rsid w:val="00167C34"/>
    <w:rsid w:val="00170CD6"/>
    <w:rsid w:val="0017178D"/>
    <w:rsid w:val="00173624"/>
    <w:rsid w:val="00174EE5"/>
    <w:rsid w:val="00176496"/>
    <w:rsid w:val="001767AB"/>
    <w:rsid w:val="00176CE4"/>
    <w:rsid w:val="00177052"/>
    <w:rsid w:val="00183086"/>
    <w:rsid w:val="0018415A"/>
    <w:rsid w:val="00185634"/>
    <w:rsid w:val="0019297F"/>
    <w:rsid w:val="00194A42"/>
    <w:rsid w:val="001964C6"/>
    <w:rsid w:val="001A040E"/>
    <w:rsid w:val="001A27EA"/>
    <w:rsid w:val="001A585E"/>
    <w:rsid w:val="001A74B5"/>
    <w:rsid w:val="001B0350"/>
    <w:rsid w:val="001B1525"/>
    <w:rsid w:val="001B61CA"/>
    <w:rsid w:val="001C3113"/>
    <w:rsid w:val="001C34AE"/>
    <w:rsid w:val="001C4B12"/>
    <w:rsid w:val="001C53EA"/>
    <w:rsid w:val="001D0BE9"/>
    <w:rsid w:val="001D3FCD"/>
    <w:rsid w:val="001D4C5A"/>
    <w:rsid w:val="001D59E7"/>
    <w:rsid w:val="001D7DDA"/>
    <w:rsid w:val="001E130B"/>
    <w:rsid w:val="001E2099"/>
    <w:rsid w:val="001E27E0"/>
    <w:rsid w:val="001E3616"/>
    <w:rsid w:val="001F080B"/>
    <w:rsid w:val="001F42FD"/>
    <w:rsid w:val="001F532D"/>
    <w:rsid w:val="001F6735"/>
    <w:rsid w:val="001F73F8"/>
    <w:rsid w:val="001F7E2A"/>
    <w:rsid w:val="0020127D"/>
    <w:rsid w:val="00202971"/>
    <w:rsid w:val="00206259"/>
    <w:rsid w:val="00211192"/>
    <w:rsid w:val="002150C0"/>
    <w:rsid w:val="00215B4B"/>
    <w:rsid w:val="00215C0C"/>
    <w:rsid w:val="00217CD0"/>
    <w:rsid w:val="00220F13"/>
    <w:rsid w:val="00222B41"/>
    <w:rsid w:val="002239D1"/>
    <w:rsid w:val="002239E2"/>
    <w:rsid w:val="002260BF"/>
    <w:rsid w:val="002277AA"/>
    <w:rsid w:val="00227B9F"/>
    <w:rsid w:val="002300DA"/>
    <w:rsid w:val="00230E2F"/>
    <w:rsid w:val="002337F7"/>
    <w:rsid w:val="00234FE9"/>
    <w:rsid w:val="0024089A"/>
    <w:rsid w:val="00241E81"/>
    <w:rsid w:val="00242177"/>
    <w:rsid w:val="0024761D"/>
    <w:rsid w:val="002509D8"/>
    <w:rsid w:val="00253B31"/>
    <w:rsid w:val="00255D8E"/>
    <w:rsid w:val="00261495"/>
    <w:rsid w:val="002617C9"/>
    <w:rsid w:val="002628A3"/>
    <w:rsid w:val="00263CF8"/>
    <w:rsid w:val="00266010"/>
    <w:rsid w:val="002662CE"/>
    <w:rsid w:val="00272F96"/>
    <w:rsid w:val="002733D4"/>
    <w:rsid w:val="002749B2"/>
    <w:rsid w:val="002804CA"/>
    <w:rsid w:val="00282B5B"/>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B1AEC"/>
    <w:rsid w:val="002B3F53"/>
    <w:rsid w:val="002B4341"/>
    <w:rsid w:val="002B5408"/>
    <w:rsid w:val="002B6229"/>
    <w:rsid w:val="002C36C2"/>
    <w:rsid w:val="002C37D5"/>
    <w:rsid w:val="002C4016"/>
    <w:rsid w:val="002C5BB8"/>
    <w:rsid w:val="002C5C2D"/>
    <w:rsid w:val="002C636A"/>
    <w:rsid w:val="002C7437"/>
    <w:rsid w:val="002D109F"/>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31622"/>
    <w:rsid w:val="003317E3"/>
    <w:rsid w:val="0033281C"/>
    <w:rsid w:val="00332D42"/>
    <w:rsid w:val="00333D5B"/>
    <w:rsid w:val="00334734"/>
    <w:rsid w:val="00334DC2"/>
    <w:rsid w:val="0033576B"/>
    <w:rsid w:val="003405B7"/>
    <w:rsid w:val="003409CF"/>
    <w:rsid w:val="00340F85"/>
    <w:rsid w:val="00343B5D"/>
    <w:rsid w:val="0034553B"/>
    <w:rsid w:val="00345FE9"/>
    <w:rsid w:val="003503C4"/>
    <w:rsid w:val="00350FBC"/>
    <w:rsid w:val="00351908"/>
    <w:rsid w:val="0035204B"/>
    <w:rsid w:val="00352086"/>
    <w:rsid w:val="003529BD"/>
    <w:rsid w:val="003557F6"/>
    <w:rsid w:val="003627EF"/>
    <w:rsid w:val="003634E2"/>
    <w:rsid w:val="00363A78"/>
    <w:rsid w:val="003643F8"/>
    <w:rsid w:val="00366F67"/>
    <w:rsid w:val="0037065F"/>
    <w:rsid w:val="003720D1"/>
    <w:rsid w:val="0037266D"/>
    <w:rsid w:val="00375C1F"/>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B1113"/>
    <w:rsid w:val="003B1C09"/>
    <w:rsid w:val="003B3197"/>
    <w:rsid w:val="003B47ED"/>
    <w:rsid w:val="003B5BAE"/>
    <w:rsid w:val="003C193E"/>
    <w:rsid w:val="003C54CC"/>
    <w:rsid w:val="003C562C"/>
    <w:rsid w:val="003C6911"/>
    <w:rsid w:val="003C7925"/>
    <w:rsid w:val="003D0C02"/>
    <w:rsid w:val="003D471D"/>
    <w:rsid w:val="003D645F"/>
    <w:rsid w:val="003E10DC"/>
    <w:rsid w:val="003E21E9"/>
    <w:rsid w:val="003E239D"/>
    <w:rsid w:val="003E4FCA"/>
    <w:rsid w:val="003E4FD3"/>
    <w:rsid w:val="003F097C"/>
    <w:rsid w:val="003F16AA"/>
    <w:rsid w:val="003F2293"/>
    <w:rsid w:val="003F7954"/>
    <w:rsid w:val="00402656"/>
    <w:rsid w:val="00406247"/>
    <w:rsid w:val="00407685"/>
    <w:rsid w:val="00407B1E"/>
    <w:rsid w:val="0041043C"/>
    <w:rsid w:val="00416785"/>
    <w:rsid w:val="0041746D"/>
    <w:rsid w:val="00417601"/>
    <w:rsid w:val="00417A84"/>
    <w:rsid w:val="00420D73"/>
    <w:rsid w:val="00422186"/>
    <w:rsid w:val="0042521E"/>
    <w:rsid w:val="0042651B"/>
    <w:rsid w:val="004301DE"/>
    <w:rsid w:val="0043065A"/>
    <w:rsid w:val="004318CA"/>
    <w:rsid w:val="00431B46"/>
    <w:rsid w:val="00431D3C"/>
    <w:rsid w:val="00436FE4"/>
    <w:rsid w:val="0044070C"/>
    <w:rsid w:val="004408D1"/>
    <w:rsid w:val="00444241"/>
    <w:rsid w:val="0044553B"/>
    <w:rsid w:val="0044653C"/>
    <w:rsid w:val="00446894"/>
    <w:rsid w:val="0044698D"/>
    <w:rsid w:val="00446BAA"/>
    <w:rsid w:val="00446F38"/>
    <w:rsid w:val="00451DFB"/>
    <w:rsid w:val="00452D85"/>
    <w:rsid w:val="00453286"/>
    <w:rsid w:val="00453D6C"/>
    <w:rsid w:val="00454AF2"/>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A15E7"/>
    <w:rsid w:val="004A5C0E"/>
    <w:rsid w:val="004A6BE0"/>
    <w:rsid w:val="004A7965"/>
    <w:rsid w:val="004B05AC"/>
    <w:rsid w:val="004B27B7"/>
    <w:rsid w:val="004B37BB"/>
    <w:rsid w:val="004B5F93"/>
    <w:rsid w:val="004B6616"/>
    <w:rsid w:val="004C047C"/>
    <w:rsid w:val="004C1572"/>
    <w:rsid w:val="004C32AB"/>
    <w:rsid w:val="004C35CF"/>
    <w:rsid w:val="004D4385"/>
    <w:rsid w:val="004D578F"/>
    <w:rsid w:val="004D58FF"/>
    <w:rsid w:val="004D59E5"/>
    <w:rsid w:val="004D76CF"/>
    <w:rsid w:val="004E0E27"/>
    <w:rsid w:val="004E26D6"/>
    <w:rsid w:val="004E3388"/>
    <w:rsid w:val="004E5051"/>
    <w:rsid w:val="004E5664"/>
    <w:rsid w:val="004E6534"/>
    <w:rsid w:val="004E7C87"/>
    <w:rsid w:val="004F004C"/>
    <w:rsid w:val="004F09C8"/>
    <w:rsid w:val="004F47F5"/>
    <w:rsid w:val="004F7230"/>
    <w:rsid w:val="00500B0A"/>
    <w:rsid w:val="0050203F"/>
    <w:rsid w:val="00503202"/>
    <w:rsid w:val="00504167"/>
    <w:rsid w:val="00504641"/>
    <w:rsid w:val="0050481A"/>
    <w:rsid w:val="0051054E"/>
    <w:rsid w:val="00514A5F"/>
    <w:rsid w:val="0051511D"/>
    <w:rsid w:val="0051721B"/>
    <w:rsid w:val="00520474"/>
    <w:rsid w:val="005245D8"/>
    <w:rsid w:val="00527981"/>
    <w:rsid w:val="00531476"/>
    <w:rsid w:val="00532BE2"/>
    <w:rsid w:val="00533E6F"/>
    <w:rsid w:val="00536865"/>
    <w:rsid w:val="00541AC2"/>
    <w:rsid w:val="00542F50"/>
    <w:rsid w:val="0054377D"/>
    <w:rsid w:val="005439BB"/>
    <w:rsid w:val="00546AA2"/>
    <w:rsid w:val="00547EED"/>
    <w:rsid w:val="0055515C"/>
    <w:rsid w:val="00555635"/>
    <w:rsid w:val="0055771C"/>
    <w:rsid w:val="00557DF7"/>
    <w:rsid w:val="00560112"/>
    <w:rsid w:val="0056072D"/>
    <w:rsid w:val="00561353"/>
    <w:rsid w:val="005631E5"/>
    <w:rsid w:val="005707D7"/>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A1B"/>
    <w:rsid w:val="005B0FF6"/>
    <w:rsid w:val="005B136F"/>
    <w:rsid w:val="005B262F"/>
    <w:rsid w:val="005B4921"/>
    <w:rsid w:val="005B4E40"/>
    <w:rsid w:val="005B55FD"/>
    <w:rsid w:val="005B7EB5"/>
    <w:rsid w:val="005C07D3"/>
    <w:rsid w:val="005C1775"/>
    <w:rsid w:val="005C25C8"/>
    <w:rsid w:val="005C39A8"/>
    <w:rsid w:val="005C5C1D"/>
    <w:rsid w:val="005C6038"/>
    <w:rsid w:val="005C611C"/>
    <w:rsid w:val="005C7591"/>
    <w:rsid w:val="005C7BD4"/>
    <w:rsid w:val="005D0855"/>
    <w:rsid w:val="005D0FDD"/>
    <w:rsid w:val="005D13C0"/>
    <w:rsid w:val="005E0E1D"/>
    <w:rsid w:val="005E247B"/>
    <w:rsid w:val="005E4CFC"/>
    <w:rsid w:val="005E567C"/>
    <w:rsid w:val="005E5A35"/>
    <w:rsid w:val="005F1C4C"/>
    <w:rsid w:val="005F347D"/>
    <w:rsid w:val="005F4060"/>
    <w:rsid w:val="005F5FD1"/>
    <w:rsid w:val="005F6497"/>
    <w:rsid w:val="005F6A35"/>
    <w:rsid w:val="00600C3B"/>
    <w:rsid w:val="00604BE0"/>
    <w:rsid w:val="00604ED7"/>
    <w:rsid w:val="00605C52"/>
    <w:rsid w:val="006069F4"/>
    <w:rsid w:val="006075F1"/>
    <w:rsid w:val="00610C89"/>
    <w:rsid w:val="00611BF1"/>
    <w:rsid w:val="0061579B"/>
    <w:rsid w:val="00615F56"/>
    <w:rsid w:val="00617E3E"/>
    <w:rsid w:val="0062089C"/>
    <w:rsid w:val="006209D1"/>
    <w:rsid w:val="00620E03"/>
    <w:rsid w:val="00621317"/>
    <w:rsid w:val="006230D7"/>
    <w:rsid w:val="0062327B"/>
    <w:rsid w:val="00623636"/>
    <w:rsid w:val="00625539"/>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679C0"/>
    <w:rsid w:val="0067386F"/>
    <w:rsid w:val="00673B49"/>
    <w:rsid w:val="00675B3E"/>
    <w:rsid w:val="00675E96"/>
    <w:rsid w:val="00676E47"/>
    <w:rsid w:val="0067706A"/>
    <w:rsid w:val="00680759"/>
    <w:rsid w:val="00681096"/>
    <w:rsid w:val="00682298"/>
    <w:rsid w:val="0068392E"/>
    <w:rsid w:val="0068550A"/>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3FA"/>
    <w:rsid w:val="006C79CC"/>
    <w:rsid w:val="006C7C94"/>
    <w:rsid w:val="006D02E7"/>
    <w:rsid w:val="006D267E"/>
    <w:rsid w:val="006D2F82"/>
    <w:rsid w:val="006D419D"/>
    <w:rsid w:val="006D471A"/>
    <w:rsid w:val="006D5130"/>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6D14"/>
    <w:rsid w:val="00711028"/>
    <w:rsid w:val="00713CDF"/>
    <w:rsid w:val="0071444C"/>
    <w:rsid w:val="007153CF"/>
    <w:rsid w:val="0071629F"/>
    <w:rsid w:val="00716683"/>
    <w:rsid w:val="00717015"/>
    <w:rsid w:val="00720231"/>
    <w:rsid w:val="00720CE7"/>
    <w:rsid w:val="0072125E"/>
    <w:rsid w:val="00721DCF"/>
    <w:rsid w:val="0072286D"/>
    <w:rsid w:val="00724E82"/>
    <w:rsid w:val="0072584B"/>
    <w:rsid w:val="00727CFC"/>
    <w:rsid w:val="00730741"/>
    <w:rsid w:val="00731300"/>
    <w:rsid w:val="00734A39"/>
    <w:rsid w:val="00737944"/>
    <w:rsid w:val="007453DB"/>
    <w:rsid w:val="00745D0B"/>
    <w:rsid w:val="00746683"/>
    <w:rsid w:val="00747A13"/>
    <w:rsid w:val="007571BD"/>
    <w:rsid w:val="00762B16"/>
    <w:rsid w:val="00764DDF"/>
    <w:rsid w:val="00765D18"/>
    <w:rsid w:val="00766275"/>
    <w:rsid w:val="00766629"/>
    <w:rsid w:val="00766EC1"/>
    <w:rsid w:val="00770305"/>
    <w:rsid w:val="0077075F"/>
    <w:rsid w:val="0078257B"/>
    <w:rsid w:val="00782A64"/>
    <w:rsid w:val="0078436A"/>
    <w:rsid w:val="0078446D"/>
    <w:rsid w:val="00786908"/>
    <w:rsid w:val="0078717C"/>
    <w:rsid w:val="007907A9"/>
    <w:rsid w:val="007918C5"/>
    <w:rsid w:val="00792482"/>
    <w:rsid w:val="007934C2"/>
    <w:rsid w:val="00795081"/>
    <w:rsid w:val="00796AB0"/>
    <w:rsid w:val="007A016B"/>
    <w:rsid w:val="007A040B"/>
    <w:rsid w:val="007A29B5"/>
    <w:rsid w:val="007A29D7"/>
    <w:rsid w:val="007A4006"/>
    <w:rsid w:val="007A41C8"/>
    <w:rsid w:val="007A508F"/>
    <w:rsid w:val="007A64E8"/>
    <w:rsid w:val="007A6D32"/>
    <w:rsid w:val="007A7E5E"/>
    <w:rsid w:val="007A7FCE"/>
    <w:rsid w:val="007B1EAD"/>
    <w:rsid w:val="007B2A3D"/>
    <w:rsid w:val="007B2C1F"/>
    <w:rsid w:val="007B4875"/>
    <w:rsid w:val="007B5970"/>
    <w:rsid w:val="007B59A2"/>
    <w:rsid w:val="007B60A5"/>
    <w:rsid w:val="007C03F8"/>
    <w:rsid w:val="007C24BE"/>
    <w:rsid w:val="007C3DE6"/>
    <w:rsid w:val="007C4CDF"/>
    <w:rsid w:val="007C4DC2"/>
    <w:rsid w:val="007C6683"/>
    <w:rsid w:val="007C66D0"/>
    <w:rsid w:val="007C74B8"/>
    <w:rsid w:val="007C74EA"/>
    <w:rsid w:val="007C753F"/>
    <w:rsid w:val="007C7CFE"/>
    <w:rsid w:val="007D056B"/>
    <w:rsid w:val="007D0D62"/>
    <w:rsid w:val="007D21B4"/>
    <w:rsid w:val="007D38B5"/>
    <w:rsid w:val="007D544F"/>
    <w:rsid w:val="007D5848"/>
    <w:rsid w:val="007D6245"/>
    <w:rsid w:val="007E195E"/>
    <w:rsid w:val="007E3897"/>
    <w:rsid w:val="007E5230"/>
    <w:rsid w:val="007E62AD"/>
    <w:rsid w:val="007E6927"/>
    <w:rsid w:val="007F12AD"/>
    <w:rsid w:val="007F19DB"/>
    <w:rsid w:val="007F2E8A"/>
    <w:rsid w:val="007F457F"/>
    <w:rsid w:val="007F4FDC"/>
    <w:rsid w:val="007F56C2"/>
    <w:rsid w:val="007F5D5F"/>
    <w:rsid w:val="00803CD0"/>
    <w:rsid w:val="00804849"/>
    <w:rsid w:val="00804E53"/>
    <w:rsid w:val="008073A4"/>
    <w:rsid w:val="00807AAA"/>
    <w:rsid w:val="00807D66"/>
    <w:rsid w:val="00810BD2"/>
    <w:rsid w:val="0081116D"/>
    <w:rsid w:val="008113D6"/>
    <w:rsid w:val="00811502"/>
    <w:rsid w:val="00813870"/>
    <w:rsid w:val="00815139"/>
    <w:rsid w:val="00815DAB"/>
    <w:rsid w:val="00820855"/>
    <w:rsid w:val="0082282A"/>
    <w:rsid w:val="0082555C"/>
    <w:rsid w:val="00825ED8"/>
    <w:rsid w:val="00841902"/>
    <w:rsid w:val="008423C1"/>
    <w:rsid w:val="0084566C"/>
    <w:rsid w:val="008463DA"/>
    <w:rsid w:val="00846BA7"/>
    <w:rsid w:val="0084703B"/>
    <w:rsid w:val="0084712E"/>
    <w:rsid w:val="0085082A"/>
    <w:rsid w:val="00853AB1"/>
    <w:rsid w:val="0085425D"/>
    <w:rsid w:val="008551DD"/>
    <w:rsid w:val="00860235"/>
    <w:rsid w:val="008612D6"/>
    <w:rsid w:val="00863503"/>
    <w:rsid w:val="0086626F"/>
    <w:rsid w:val="008663D3"/>
    <w:rsid w:val="008722CE"/>
    <w:rsid w:val="0087264B"/>
    <w:rsid w:val="00874A7F"/>
    <w:rsid w:val="00876465"/>
    <w:rsid w:val="00880BCB"/>
    <w:rsid w:val="00880D19"/>
    <w:rsid w:val="00882746"/>
    <w:rsid w:val="00885657"/>
    <w:rsid w:val="008906B0"/>
    <w:rsid w:val="00892E93"/>
    <w:rsid w:val="00893F1F"/>
    <w:rsid w:val="008945C3"/>
    <w:rsid w:val="00895F0E"/>
    <w:rsid w:val="0089673D"/>
    <w:rsid w:val="00896877"/>
    <w:rsid w:val="00897EB1"/>
    <w:rsid w:val="008A2C68"/>
    <w:rsid w:val="008B141F"/>
    <w:rsid w:val="008B18D9"/>
    <w:rsid w:val="008B2F8C"/>
    <w:rsid w:val="008B3AB6"/>
    <w:rsid w:val="008B4D33"/>
    <w:rsid w:val="008B5145"/>
    <w:rsid w:val="008B550C"/>
    <w:rsid w:val="008B7BC8"/>
    <w:rsid w:val="008C12B2"/>
    <w:rsid w:val="008C3882"/>
    <w:rsid w:val="008C67BD"/>
    <w:rsid w:val="008D1239"/>
    <w:rsid w:val="008E2622"/>
    <w:rsid w:val="008E2C5C"/>
    <w:rsid w:val="008E3530"/>
    <w:rsid w:val="008E4FCB"/>
    <w:rsid w:val="008F0532"/>
    <w:rsid w:val="008F066C"/>
    <w:rsid w:val="008F1507"/>
    <w:rsid w:val="008F198B"/>
    <w:rsid w:val="008F7FF4"/>
    <w:rsid w:val="00903327"/>
    <w:rsid w:val="00904876"/>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5F25"/>
    <w:rsid w:val="0094282A"/>
    <w:rsid w:val="00951A21"/>
    <w:rsid w:val="00954629"/>
    <w:rsid w:val="00954CFA"/>
    <w:rsid w:val="009562E2"/>
    <w:rsid w:val="00956DE4"/>
    <w:rsid w:val="009668B8"/>
    <w:rsid w:val="009679E4"/>
    <w:rsid w:val="009706AB"/>
    <w:rsid w:val="00971E51"/>
    <w:rsid w:val="0097384E"/>
    <w:rsid w:val="009738C4"/>
    <w:rsid w:val="00974B8B"/>
    <w:rsid w:val="00975429"/>
    <w:rsid w:val="00976332"/>
    <w:rsid w:val="00976F12"/>
    <w:rsid w:val="00977D7C"/>
    <w:rsid w:val="00980649"/>
    <w:rsid w:val="009817F8"/>
    <w:rsid w:val="00985A1E"/>
    <w:rsid w:val="00985A93"/>
    <w:rsid w:val="00987724"/>
    <w:rsid w:val="009923C8"/>
    <w:rsid w:val="00994264"/>
    <w:rsid w:val="00995C95"/>
    <w:rsid w:val="00997A4E"/>
    <w:rsid w:val="00997F54"/>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54AE"/>
    <w:rsid w:val="009C721A"/>
    <w:rsid w:val="009C7FA7"/>
    <w:rsid w:val="009D078C"/>
    <w:rsid w:val="009D143E"/>
    <w:rsid w:val="009D211C"/>
    <w:rsid w:val="009D2A8B"/>
    <w:rsid w:val="009D3862"/>
    <w:rsid w:val="009D3883"/>
    <w:rsid w:val="009D56B7"/>
    <w:rsid w:val="009D5E95"/>
    <w:rsid w:val="009D6DB8"/>
    <w:rsid w:val="009D7A28"/>
    <w:rsid w:val="009E4666"/>
    <w:rsid w:val="009E4B8F"/>
    <w:rsid w:val="009E4CB9"/>
    <w:rsid w:val="009E640E"/>
    <w:rsid w:val="009F0869"/>
    <w:rsid w:val="009F1B51"/>
    <w:rsid w:val="009F1D1C"/>
    <w:rsid w:val="009F3086"/>
    <w:rsid w:val="009F362F"/>
    <w:rsid w:val="009F373D"/>
    <w:rsid w:val="009F5040"/>
    <w:rsid w:val="009F644C"/>
    <w:rsid w:val="009F7B23"/>
    <w:rsid w:val="00A00617"/>
    <w:rsid w:val="00A0064F"/>
    <w:rsid w:val="00A03212"/>
    <w:rsid w:val="00A03839"/>
    <w:rsid w:val="00A04D82"/>
    <w:rsid w:val="00A0581E"/>
    <w:rsid w:val="00A100D4"/>
    <w:rsid w:val="00A10285"/>
    <w:rsid w:val="00A10F61"/>
    <w:rsid w:val="00A12275"/>
    <w:rsid w:val="00A12AD7"/>
    <w:rsid w:val="00A16A44"/>
    <w:rsid w:val="00A1705B"/>
    <w:rsid w:val="00A1751A"/>
    <w:rsid w:val="00A21305"/>
    <w:rsid w:val="00A219FB"/>
    <w:rsid w:val="00A245DD"/>
    <w:rsid w:val="00A25A90"/>
    <w:rsid w:val="00A25CDE"/>
    <w:rsid w:val="00A3094F"/>
    <w:rsid w:val="00A32A62"/>
    <w:rsid w:val="00A32D0C"/>
    <w:rsid w:val="00A350E9"/>
    <w:rsid w:val="00A35991"/>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A33"/>
    <w:rsid w:val="00A75949"/>
    <w:rsid w:val="00A779FB"/>
    <w:rsid w:val="00A80968"/>
    <w:rsid w:val="00A816AA"/>
    <w:rsid w:val="00A82111"/>
    <w:rsid w:val="00A83E49"/>
    <w:rsid w:val="00A90563"/>
    <w:rsid w:val="00A93DBF"/>
    <w:rsid w:val="00A943AA"/>
    <w:rsid w:val="00A94BF2"/>
    <w:rsid w:val="00A94EC8"/>
    <w:rsid w:val="00AA42B3"/>
    <w:rsid w:val="00AA4C65"/>
    <w:rsid w:val="00AA600B"/>
    <w:rsid w:val="00AA70BC"/>
    <w:rsid w:val="00AB0762"/>
    <w:rsid w:val="00AB0DB7"/>
    <w:rsid w:val="00AB0EA8"/>
    <w:rsid w:val="00AB50D9"/>
    <w:rsid w:val="00AB531C"/>
    <w:rsid w:val="00AB537C"/>
    <w:rsid w:val="00AB64AA"/>
    <w:rsid w:val="00AC0699"/>
    <w:rsid w:val="00AC259E"/>
    <w:rsid w:val="00AC50CA"/>
    <w:rsid w:val="00AC6CF4"/>
    <w:rsid w:val="00AC7005"/>
    <w:rsid w:val="00AC79C6"/>
    <w:rsid w:val="00AD13D8"/>
    <w:rsid w:val="00AD16C8"/>
    <w:rsid w:val="00AD3CA7"/>
    <w:rsid w:val="00AD4472"/>
    <w:rsid w:val="00AD460D"/>
    <w:rsid w:val="00AD69BF"/>
    <w:rsid w:val="00AD7211"/>
    <w:rsid w:val="00AD747D"/>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7AC8"/>
    <w:rsid w:val="00B10606"/>
    <w:rsid w:val="00B11050"/>
    <w:rsid w:val="00B11BF6"/>
    <w:rsid w:val="00B12694"/>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E8A"/>
    <w:rsid w:val="00B408D6"/>
    <w:rsid w:val="00B427F7"/>
    <w:rsid w:val="00B45B55"/>
    <w:rsid w:val="00B501EC"/>
    <w:rsid w:val="00B50C54"/>
    <w:rsid w:val="00B510CB"/>
    <w:rsid w:val="00B5120C"/>
    <w:rsid w:val="00B5293E"/>
    <w:rsid w:val="00B53626"/>
    <w:rsid w:val="00B55D27"/>
    <w:rsid w:val="00B55EFA"/>
    <w:rsid w:val="00B56073"/>
    <w:rsid w:val="00B5647A"/>
    <w:rsid w:val="00B619A3"/>
    <w:rsid w:val="00B621C9"/>
    <w:rsid w:val="00B6421D"/>
    <w:rsid w:val="00B64B70"/>
    <w:rsid w:val="00B65217"/>
    <w:rsid w:val="00B65229"/>
    <w:rsid w:val="00B66140"/>
    <w:rsid w:val="00B67956"/>
    <w:rsid w:val="00B735BE"/>
    <w:rsid w:val="00B7364A"/>
    <w:rsid w:val="00B75E7C"/>
    <w:rsid w:val="00B83757"/>
    <w:rsid w:val="00B83DE8"/>
    <w:rsid w:val="00B83E19"/>
    <w:rsid w:val="00B86B2D"/>
    <w:rsid w:val="00B87415"/>
    <w:rsid w:val="00B901D2"/>
    <w:rsid w:val="00B929BC"/>
    <w:rsid w:val="00B94B68"/>
    <w:rsid w:val="00B95691"/>
    <w:rsid w:val="00B95E2F"/>
    <w:rsid w:val="00B978BD"/>
    <w:rsid w:val="00B979BA"/>
    <w:rsid w:val="00BA00FF"/>
    <w:rsid w:val="00BA0E38"/>
    <w:rsid w:val="00BA43EB"/>
    <w:rsid w:val="00BA5F85"/>
    <w:rsid w:val="00BA75F8"/>
    <w:rsid w:val="00BA767D"/>
    <w:rsid w:val="00BB76F9"/>
    <w:rsid w:val="00BC06D9"/>
    <w:rsid w:val="00BC48C0"/>
    <w:rsid w:val="00BC5A14"/>
    <w:rsid w:val="00BC6481"/>
    <w:rsid w:val="00BC6B5A"/>
    <w:rsid w:val="00BC7106"/>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DF3"/>
    <w:rsid w:val="00C318DE"/>
    <w:rsid w:val="00C33453"/>
    <w:rsid w:val="00C401DE"/>
    <w:rsid w:val="00C405C9"/>
    <w:rsid w:val="00C44850"/>
    <w:rsid w:val="00C460E4"/>
    <w:rsid w:val="00C463DC"/>
    <w:rsid w:val="00C5050F"/>
    <w:rsid w:val="00C50F47"/>
    <w:rsid w:val="00C52198"/>
    <w:rsid w:val="00C524B6"/>
    <w:rsid w:val="00C531FA"/>
    <w:rsid w:val="00C53B05"/>
    <w:rsid w:val="00C53B8B"/>
    <w:rsid w:val="00C5795F"/>
    <w:rsid w:val="00C60D20"/>
    <w:rsid w:val="00C619DC"/>
    <w:rsid w:val="00C64FB1"/>
    <w:rsid w:val="00C67650"/>
    <w:rsid w:val="00C7231A"/>
    <w:rsid w:val="00C734E4"/>
    <w:rsid w:val="00C74B5A"/>
    <w:rsid w:val="00C80319"/>
    <w:rsid w:val="00C81A12"/>
    <w:rsid w:val="00C83DD4"/>
    <w:rsid w:val="00C85BFF"/>
    <w:rsid w:val="00C873A4"/>
    <w:rsid w:val="00C90EA9"/>
    <w:rsid w:val="00CA0D4F"/>
    <w:rsid w:val="00CA1224"/>
    <w:rsid w:val="00CA519E"/>
    <w:rsid w:val="00CB165F"/>
    <w:rsid w:val="00CB18A2"/>
    <w:rsid w:val="00CB3621"/>
    <w:rsid w:val="00CB4A68"/>
    <w:rsid w:val="00CC1380"/>
    <w:rsid w:val="00CC47FF"/>
    <w:rsid w:val="00CC7D91"/>
    <w:rsid w:val="00CD08DD"/>
    <w:rsid w:val="00CD1A96"/>
    <w:rsid w:val="00CD2824"/>
    <w:rsid w:val="00CD6203"/>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AA"/>
    <w:rsid w:val="00D05363"/>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AAF"/>
    <w:rsid w:val="00D36E59"/>
    <w:rsid w:val="00D40367"/>
    <w:rsid w:val="00D40956"/>
    <w:rsid w:val="00D44FB4"/>
    <w:rsid w:val="00D46BED"/>
    <w:rsid w:val="00D46DD0"/>
    <w:rsid w:val="00D47142"/>
    <w:rsid w:val="00D51D58"/>
    <w:rsid w:val="00D53D4E"/>
    <w:rsid w:val="00D55309"/>
    <w:rsid w:val="00D567D8"/>
    <w:rsid w:val="00D56A56"/>
    <w:rsid w:val="00D601BE"/>
    <w:rsid w:val="00D624FA"/>
    <w:rsid w:val="00D643A6"/>
    <w:rsid w:val="00D648DD"/>
    <w:rsid w:val="00D66F15"/>
    <w:rsid w:val="00D71C76"/>
    <w:rsid w:val="00D7210F"/>
    <w:rsid w:val="00D72DDC"/>
    <w:rsid w:val="00D73733"/>
    <w:rsid w:val="00D761A3"/>
    <w:rsid w:val="00D76873"/>
    <w:rsid w:val="00D8078E"/>
    <w:rsid w:val="00D8377A"/>
    <w:rsid w:val="00D83D65"/>
    <w:rsid w:val="00D85ED0"/>
    <w:rsid w:val="00D874D3"/>
    <w:rsid w:val="00D87815"/>
    <w:rsid w:val="00D93BE8"/>
    <w:rsid w:val="00D93F81"/>
    <w:rsid w:val="00D94428"/>
    <w:rsid w:val="00D94683"/>
    <w:rsid w:val="00D9558B"/>
    <w:rsid w:val="00D957E5"/>
    <w:rsid w:val="00D95832"/>
    <w:rsid w:val="00D965A7"/>
    <w:rsid w:val="00DA1DA5"/>
    <w:rsid w:val="00DA39F0"/>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17897"/>
    <w:rsid w:val="00E20A48"/>
    <w:rsid w:val="00E212CD"/>
    <w:rsid w:val="00E2161F"/>
    <w:rsid w:val="00E23D5C"/>
    <w:rsid w:val="00E26838"/>
    <w:rsid w:val="00E27A1A"/>
    <w:rsid w:val="00E27CD0"/>
    <w:rsid w:val="00E27F4A"/>
    <w:rsid w:val="00E30092"/>
    <w:rsid w:val="00E306FA"/>
    <w:rsid w:val="00E3226A"/>
    <w:rsid w:val="00E33135"/>
    <w:rsid w:val="00E350DA"/>
    <w:rsid w:val="00E40C89"/>
    <w:rsid w:val="00E44314"/>
    <w:rsid w:val="00E5094F"/>
    <w:rsid w:val="00E52A65"/>
    <w:rsid w:val="00E54BAE"/>
    <w:rsid w:val="00E5576F"/>
    <w:rsid w:val="00E56B3D"/>
    <w:rsid w:val="00E57BF2"/>
    <w:rsid w:val="00E60509"/>
    <w:rsid w:val="00E62731"/>
    <w:rsid w:val="00E6464A"/>
    <w:rsid w:val="00E67278"/>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A13AE"/>
    <w:rsid w:val="00EA73EF"/>
    <w:rsid w:val="00EB1831"/>
    <w:rsid w:val="00EB2F2D"/>
    <w:rsid w:val="00EB3C9F"/>
    <w:rsid w:val="00EB51E7"/>
    <w:rsid w:val="00EB5A34"/>
    <w:rsid w:val="00EB7113"/>
    <w:rsid w:val="00EC06BA"/>
    <w:rsid w:val="00EC30D6"/>
    <w:rsid w:val="00EC4F74"/>
    <w:rsid w:val="00EC599B"/>
    <w:rsid w:val="00EC5C40"/>
    <w:rsid w:val="00EC69A8"/>
    <w:rsid w:val="00EC70F0"/>
    <w:rsid w:val="00ED0581"/>
    <w:rsid w:val="00ED0C20"/>
    <w:rsid w:val="00ED2ACE"/>
    <w:rsid w:val="00ED4BDC"/>
    <w:rsid w:val="00ED76E9"/>
    <w:rsid w:val="00EE0830"/>
    <w:rsid w:val="00EE121C"/>
    <w:rsid w:val="00EE30ED"/>
    <w:rsid w:val="00EE3525"/>
    <w:rsid w:val="00EE45E3"/>
    <w:rsid w:val="00EE552F"/>
    <w:rsid w:val="00EE6E7F"/>
    <w:rsid w:val="00EF2FF8"/>
    <w:rsid w:val="00EF4797"/>
    <w:rsid w:val="00EF4DCD"/>
    <w:rsid w:val="00EF62BF"/>
    <w:rsid w:val="00F01310"/>
    <w:rsid w:val="00F01BA7"/>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395"/>
    <w:rsid w:val="00F34CAD"/>
    <w:rsid w:val="00F35D60"/>
    <w:rsid w:val="00F361D9"/>
    <w:rsid w:val="00F40F3A"/>
    <w:rsid w:val="00F4268F"/>
    <w:rsid w:val="00F44C9E"/>
    <w:rsid w:val="00F454F3"/>
    <w:rsid w:val="00F502BF"/>
    <w:rsid w:val="00F51060"/>
    <w:rsid w:val="00F516E8"/>
    <w:rsid w:val="00F5236E"/>
    <w:rsid w:val="00F52EEF"/>
    <w:rsid w:val="00F53246"/>
    <w:rsid w:val="00F545A1"/>
    <w:rsid w:val="00F57645"/>
    <w:rsid w:val="00F60474"/>
    <w:rsid w:val="00F6055A"/>
    <w:rsid w:val="00F61B71"/>
    <w:rsid w:val="00F640C3"/>
    <w:rsid w:val="00F66D50"/>
    <w:rsid w:val="00F72AA8"/>
    <w:rsid w:val="00F74B61"/>
    <w:rsid w:val="00F75C6B"/>
    <w:rsid w:val="00F76701"/>
    <w:rsid w:val="00F8176E"/>
    <w:rsid w:val="00F82B22"/>
    <w:rsid w:val="00F82D97"/>
    <w:rsid w:val="00F82E5E"/>
    <w:rsid w:val="00F849D0"/>
    <w:rsid w:val="00F8516C"/>
    <w:rsid w:val="00F85910"/>
    <w:rsid w:val="00F867A3"/>
    <w:rsid w:val="00F874BA"/>
    <w:rsid w:val="00F923DE"/>
    <w:rsid w:val="00F961E3"/>
    <w:rsid w:val="00F97788"/>
    <w:rsid w:val="00FA1036"/>
    <w:rsid w:val="00FA24EA"/>
    <w:rsid w:val="00FA28C3"/>
    <w:rsid w:val="00FA35F6"/>
    <w:rsid w:val="00FB1A96"/>
    <w:rsid w:val="00FB59C1"/>
    <w:rsid w:val="00FB635B"/>
    <w:rsid w:val="00FC03C1"/>
    <w:rsid w:val="00FC1AFA"/>
    <w:rsid w:val="00FC4834"/>
    <w:rsid w:val="00FC6ACF"/>
    <w:rsid w:val="00FC74FD"/>
    <w:rsid w:val="00FD0161"/>
    <w:rsid w:val="00FD0E0C"/>
    <w:rsid w:val="00FD12AD"/>
    <w:rsid w:val="00FD3337"/>
    <w:rsid w:val="00FD37E2"/>
    <w:rsid w:val="00FD50E6"/>
    <w:rsid w:val="00FD63D9"/>
    <w:rsid w:val="00FD7AC0"/>
    <w:rsid w:val="00FE3407"/>
    <w:rsid w:val="00FE4131"/>
    <w:rsid w:val="00FE4A0A"/>
    <w:rsid w:val="00FE4D7D"/>
    <w:rsid w:val="00FE5E40"/>
    <w:rsid w:val="00FE6796"/>
    <w:rsid w:val="00FE6AC1"/>
    <w:rsid w:val="00FF016E"/>
    <w:rsid w:val="00FF0B48"/>
    <w:rsid w:val="00FF10DC"/>
    <w:rsid w:val="00FF3A0E"/>
    <w:rsid w:val="00FF3E3A"/>
    <w:rsid w:val="00FF5408"/>
    <w:rsid w:val="01301A70"/>
    <w:rsid w:val="01535EBC"/>
    <w:rsid w:val="01A051A5"/>
    <w:rsid w:val="01AD6336"/>
    <w:rsid w:val="01AD73F5"/>
    <w:rsid w:val="01D80251"/>
    <w:rsid w:val="01ED2F4F"/>
    <w:rsid w:val="022005DB"/>
    <w:rsid w:val="029A6F8B"/>
    <w:rsid w:val="02B61011"/>
    <w:rsid w:val="038627B8"/>
    <w:rsid w:val="04115339"/>
    <w:rsid w:val="04122769"/>
    <w:rsid w:val="04424A26"/>
    <w:rsid w:val="060B7677"/>
    <w:rsid w:val="061A5313"/>
    <w:rsid w:val="0641548F"/>
    <w:rsid w:val="06492AAF"/>
    <w:rsid w:val="0671338F"/>
    <w:rsid w:val="0698417D"/>
    <w:rsid w:val="069D2949"/>
    <w:rsid w:val="06CD6568"/>
    <w:rsid w:val="06FE7FDB"/>
    <w:rsid w:val="070754CD"/>
    <w:rsid w:val="072E7F81"/>
    <w:rsid w:val="0734625B"/>
    <w:rsid w:val="07351825"/>
    <w:rsid w:val="0806057A"/>
    <w:rsid w:val="088E4584"/>
    <w:rsid w:val="08D02C41"/>
    <w:rsid w:val="08E73F86"/>
    <w:rsid w:val="094216B7"/>
    <w:rsid w:val="09C00431"/>
    <w:rsid w:val="09C02BBF"/>
    <w:rsid w:val="0ABD67A5"/>
    <w:rsid w:val="0AC74C67"/>
    <w:rsid w:val="0AEC4C33"/>
    <w:rsid w:val="0AF81F7D"/>
    <w:rsid w:val="0AF9651E"/>
    <w:rsid w:val="0B532916"/>
    <w:rsid w:val="0BA71F9F"/>
    <w:rsid w:val="0BC24B89"/>
    <w:rsid w:val="0BF608EB"/>
    <w:rsid w:val="0D3614D2"/>
    <w:rsid w:val="0D4A190D"/>
    <w:rsid w:val="0D9A18D0"/>
    <w:rsid w:val="0DD0188F"/>
    <w:rsid w:val="0EB94892"/>
    <w:rsid w:val="0F012471"/>
    <w:rsid w:val="0F09353F"/>
    <w:rsid w:val="0F380138"/>
    <w:rsid w:val="0F5F7948"/>
    <w:rsid w:val="10BE71C3"/>
    <w:rsid w:val="11337EFB"/>
    <w:rsid w:val="115713ED"/>
    <w:rsid w:val="11600A16"/>
    <w:rsid w:val="12456039"/>
    <w:rsid w:val="12F66907"/>
    <w:rsid w:val="130A6356"/>
    <w:rsid w:val="1360576D"/>
    <w:rsid w:val="137463DF"/>
    <w:rsid w:val="1426405A"/>
    <w:rsid w:val="14481B6D"/>
    <w:rsid w:val="14E52296"/>
    <w:rsid w:val="15537400"/>
    <w:rsid w:val="15562652"/>
    <w:rsid w:val="1583223F"/>
    <w:rsid w:val="15A54DA6"/>
    <w:rsid w:val="15D64F91"/>
    <w:rsid w:val="15D92473"/>
    <w:rsid w:val="15F546BA"/>
    <w:rsid w:val="15FF414E"/>
    <w:rsid w:val="160E5BA4"/>
    <w:rsid w:val="16595AD6"/>
    <w:rsid w:val="165D02EF"/>
    <w:rsid w:val="166E3243"/>
    <w:rsid w:val="168B794A"/>
    <w:rsid w:val="16D1158E"/>
    <w:rsid w:val="17183CCA"/>
    <w:rsid w:val="174428E9"/>
    <w:rsid w:val="17452200"/>
    <w:rsid w:val="176420E2"/>
    <w:rsid w:val="178B74E4"/>
    <w:rsid w:val="18127246"/>
    <w:rsid w:val="18376C5B"/>
    <w:rsid w:val="183C749A"/>
    <w:rsid w:val="185E77BE"/>
    <w:rsid w:val="187472F0"/>
    <w:rsid w:val="18A81BCE"/>
    <w:rsid w:val="18BB49A9"/>
    <w:rsid w:val="19AC6797"/>
    <w:rsid w:val="19FE3D52"/>
    <w:rsid w:val="1A680331"/>
    <w:rsid w:val="1A7C2890"/>
    <w:rsid w:val="1AA8733D"/>
    <w:rsid w:val="1B0051DB"/>
    <w:rsid w:val="1B324FB0"/>
    <w:rsid w:val="1B5653C7"/>
    <w:rsid w:val="1B975ED5"/>
    <w:rsid w:val="1BAF2B27"/>
    <w:rsid w:val="1C594598"/>
    <w:rsid w:val="1C7976A4"/>
    <w:rsid w:val="1C8735BD"/>
    <w:rsid w:val="1D0B0A16"/>
    <w:rsid w:val="1D650CC3"/>
    <w:rsid w:val="1DF36F10"/>
    <w:rsid w:val="1E1A3914"/>
    <w:rsid w:val="1EC63D7C"/>
    <w:rsid w:val="1EE13120"/>
    <w:rsid w:val="1F4D61EB"/>
    <w:rsid w:val="1F9A6A11"/>
    <w:rsid w:val="207E6C00"/>
    <w:rsid w:val="20B2740F"/>
    <w:rsid w:val="21396CB8"/>
    <w:rsid w:val="21AA7CA6"/>
    <w:rsid w:val="21FF2B6B"/>
    <w:rsid w:val="228A73C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76826"/>
    <w:rsid w:val="2A447D96"/>
    <w:rsid w:val="2AA27CAB"/>
    <w:rsid w:val="2B0651FF"/>
    <w:rsid w:val="2BBE7D2C"/>
    <w:rsid w:val="2BEE5854"/>
    <w:rsid w:val="2C897AD5"/>
    <w:rsid w:val="2D2C75CF"/>
    <w:rsid w:val="2D4C2D0F"/>
    <w:rsid w:val="2D8C25BE"/>
    <w:rsid w:val="2DD90901"/>
    <w:rsid w:val="2E5D0DE4"/>
    <w:rsid w:val="2EBA6468"/>
    <w:rsid w:val="2ED647A7"/>
    <w:rsid w:val="2ED6546B"/>
    <w:rsid w:val="2ED96FE6"/>
    <w:rsid w:val="2EFD6C01"/>
    <w:rsid w:val="2F1E329D"/>
    <w:rsid w:val="2F4F3840"/>
    <w:rsid w:val="2F9D42C1"/>
    <w:rsid w:val="2FA616B9"/>
    <w:rsid w:val="2FA874B2"/>
    <w:rsid w:val="2FEF61B9"/>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BD1D33"/>
    <w:rsid w:val="35BF24A4"/>
    <w:rsid w:val="35DC2BCB"/>
    <w:rsid w:val="35E60492"/>
    <w:rsid w:val="3621189E"/>
    <w:rsid w:val="3631763C"/>
    <w:rsid w:val="36405BAA"/>
    <w:rsid w:val="36837E96"/>
    <w:rsid w:val="36C74C41"/>
    <w:rsid w:val="36E81D5E"/>
    <w:rsid w:val="3772137C"/>
    <w:rsid w:val="378A0234"/>
    <w:rsid w:val="379F2C44"/>
    <w:rsid w:val="380D2B38"/>
    <w:rsid w:val="387C43FD"/>
    <w:rsid w:val="387D7DFF"/>
    <w:rsid w:val="38AD14DD"/>
    <w:rsid w:val="38DB08A3"/>
    <w:rsid w:val="3971511E"/>
    <w:rsid w:val="397C2D3D"/>
    <w:rsid w:val="39AF4AF7"/>
    <w:rsid w:val="3A060D37"/>
    <w:rsid w:val="3A815CFC"/>
    <w:rsid w:val="3ADC246A"/>
    <w:rsid w:val="3AE8609C"/>
    <w:rsid w:val="3B502CC1"/>
    <w:rsid w:val="3B516760"/>
    <w:rsid w:val="3B6E6EB4"/>
    <w:rsid w:val="3B6F005A"/>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401A03CE"/>
    <w:rsid w:val="406D1780"/>
    <w:rsid w:val="411B4824"/>
    <w:rsid w:val="413D5C6F"/>
    <w:rsid w:val="4181493C"/>
    <w:rsid w:val="41A22AC3"/>
    <w:rsid w:val="41DE0C28"/>
    <w:rsid w:val="42120A50"/>
    <w:rsid w:val="42C579CC"/>
    <w:rsid w:val="42C62A86"/>
    <w:rsid w:val="434314FE"/>
    <w:rsid w:val="435C52D6"/>
    <w:rsid w:val="43645516"/>
    <w:rsid w:val="437A2C86"/>
    <w:rsid w:val="44241DDE"/>
    <w:rsid w:val="44276889"/>
    <w:rsid w:val="44530233"/>
    <w:rsid w:val="44EB798A"/>
    <w:rsid w:val="45642F6A"/>
    <w:rsid w:val="459C36BB"/>
    <w:rsid w:val="464A26E8"/>
    <w:rsid w:val="464E293A"/>
    <w:rsid w:val="467D0950"/>
    <w:rsid w:val="469A4E5F"/>
    <w:rsid w:val="470569E4"/>
    <w:rsid w:val="4706752E"/>
    <w:rsid w:val="475E2800"/>
    <w:rsid w:val="47A706EE"/>
    <w:rsid w:val="47DA195B"/>
    <w:rsid w:val="488A01D5"/>
    <w:rsid w:val="48BC0178"/>
    <w:rsid w:val="490B58A7"/>
    <w:rsid w:val="491A0CE2"/>
    <w:rsid w:val="493C077D"/>
    <w:rsid w:val="49587306"/>
    <w:rsid w:val="49A9444F"/>
    <w:rsid w:val="49EE28F9"/>
    <w:rsid w:val="4A1242B7"/>
    <w:rsid w:val="4A20103D"/>
    <w:rsid w:val="4A2631E4"/>
    <w:rsid w:val="4A9061CF"/>
    <w:rsid w:val="4A955F53"/>
    <w:rsid w:val="4B144D40"/>
    <w:rsid w:val="4B4107D0"/>
    <w:rsid w:val="4B805A5F"/>
    <w:rsid w:val="4BC3031A"/>
    <w:rsid w:val="4BFD2C74"/>
    <w:rsid w:val="4C234937"/>
    <w:rsid w:val="4C272014"/>
    <w:rsid w:val="4C2B36E5"/>
    <w:rsid w:val="4C9E0B90"/>
    <w:rsid w:val="4D81453D"/>
    <w:rsid w:val="4DCB1184"/>
    <w:rsid w:val="4DDD5294"/>
    <w:rsid w:val="4E68191A"/>
    <w:rsid w:val="4E8F1021"/>
    <w:rsid w:val="4E960D48"/>
    <w:rsid w:val="4EE707FB"/>
    <w:rsid w:val="4F002168"/>
    <w:rsid w:val="4F3E18B2"/>
    <w:rsid w:val="4FB17A29"/>
    <w:rsid w:val="50CB4649"/>
    <w:rsid w:val="51057F79"/>
    <w:rsid w:val="51475CC0"/>
    <w:rsid w:val="51694330"/>
    <w:rsid w:val="51AF698E"/>
    <w:rsid w:val="51C23BAD"/>
    <w:rsid w:val="51DD319C"/>
    <w:rsid w:val="52252EBD"/>
    <w:rsid w:val="52A66C49"/>
    <w:rsid w:val="52E71FB4"/>
    <w:rsid w:val="53B54782"/>
    <w:rsid w:val="54494545"/>
    <w:rsid w:val="547B4879"/>
    <w:rsid w:val="54AA0A30"/>
    <w:rsid w:val="54CB7EA9"/>
    <w:rsid w:val="55EB77C0"/>
    <w:rsid w:val="562F0357"/>
    <w:rsid w:val="564F69B6"/>
    <w:rsid w:val="566E1BF3"/>
    <w:rsid w:val="569F775B"/>
    <w:rsid w:val="57303A7C"/>
    <w:rsid w:val="57481A8E"/>
    <w:rsid w:val="58337254"/>
    <w:rsid w:val="58E00C77"/>
    <w:rsid w:val="59526204"/>
    <w:rsid w:val="59AD0C40"/>
    <w:rsid w:val="59AD1538"/>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BF18BC"/>
    <w:rsid w:val="5CF07939"/>
    <w:rsid w:val="5D2802F3"/>
    <w:rsid w:val="5D80343C"/>
    <w:rsid w:val="5E022EA9"/>
    <w:rsid w:val="5E164D40"/>
    <w:rsid w:val="5EA1196F"/>
    <w:rsid w:val="5EBA0F5F"/>
    <w:rsid w:val="5EEA4CD2"/>
    <w:rsid w:val="5F046F44"/>
    <w:rsid w:val="5F1F06B8"/>
    <w:rsid w:val="5F4F7A12"/>
    <w:rsid w:val="5F9C495E"/>
    <w:rsid w:val="60A239C9"/>
    <w:rsid w:val="60FA6D79"/>
    <w:rsid w:val="613A17BA"/>
    <w:rsid w:val="61577614"/>
    <w:rsid w:val="617F1A46"/>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C50014D"/>
    <w:rsid w:val="6C597288"/>
    <w:rsid w:val="6C612D7E"/>
    <w:rsid w:val="6C9D1BCF"/>
    <w:rsid w:val="6D3470DE"/>
    <w:rsid w:val="6D914092"/>
    <w:rsid w:val="6D9B3A9B"/>
    <w:rsid w:val="6E216952"/>
    <w:rsid w:val="6EC13E48"/>
    <w:rsid w:val="6EDC23DD"/>
    <w:rsid w:val="6F0F18E5"/>
    <w:rsid w:val="6F165DBC"/>
    <w:rsid w:val="6F364B5F"/>
    <w:rsid w:val="6F3E4050"/>
    <w:rsid w:val="6F5B5650"/>
    <w:rsid w:val="6F660F70"/>
    <w:rsid w:val="6F92795A"/>
    <w:rsid w:val="6FA37BFA"/>
    <w:rsid w:val="705052FB"/>
    <w:rsid w:val="70AD0488"/>
    <w:rsid w:val="70ED5338"/>
    <w:rsid w:val="70F161A9"/>
    <w:rsid w:val="713E6EBD"/>
    <w:rsid w:val="714E09F3"/>
    <w:rsid w:val="717362D3"/>
    <w:rsid w:val="71FA1C5E"/>
    <w:rsid w:val="72054BED"/>
    <w:rsid w:val="720B608D"/>
    <w:rsid w:val="72323F70"/>
    <w:rsid w:val="72422A0F"/>
    <w:rsid w:val="729E7714"/>
    <w:rsid w:val="72ED6E2C"/>
    <w:rsid w:val="73A96C48"/>
    <w:rsid w:val="73F6333E"/>
    <w:rsid w:val="743301F6"/>
    <w:rsid w:val="74527DA5"/>
    <w:rsid w:val="748847CC"/>
    <w:rsid w:val="74B843B3"/>
    <w:rsid w:val="74DA7702"/>
    <w:rsid w:val="75127471"/>
    <w:rsid w:val="751471B8"/>
    <w:rsid w:val="75FA352D"/>
    <w:rsid w:val="7614349B"/>
    <w:rsid w:val="761E064F"/>
    <w:rsid w:val="767D2049"/>
    <w:rsid w:val="768207A5"/>
    <w:rsid w:val="76A2179B"/>
    <w:rsid w:val="76D51348"/>
    <w:rsid w:val="76D66050"/>
    <w:rsid w:val="770352EE"/>
    <w:rsid w:val="77565832"/>
    <w:rsid w:val="776E4150"/>
    <w:rsid w:val="77890BDB"/>
    <w:rsid w:val="77D3660D"/>
    <w:rsid w:val="785437D3"/>
    <w:rsid w:val="78565AAF"/>
    <w:rsid w:val="78BE7CBA"/>
    <w:rsid w:val="78DD3131"/>
    <w:rsid w:val="79430348"/>
    <w:rsid w:val="79701A39"/>
    <w:rsid w:val="7A082988"/>
    <w:rsid w:val="7A1C10FB"/>
    <w:rsid w:val="7A424D7F"/>
    <w:rsid w:val="7A4D4FC3"/>
    <w:rsid w:val="7AB87EDD"/>
    <w:rsid w:val="7ABA7BB0"/>
    <w:rsid w:val="7AE64B83"/>
    <w:rsid w:val="7B002162"/>
    <w:rsid w:val="7B124FB7"/>
    <w:rsid w:val="7B361A8A"/>
    <w:rsid w:val="7BAE5A06"/>
    <w:rsid w:val="7BDF1C40"/>
    <w:rsid w:val="7CB818B8"/>
    <w:rsid w:val="7CD50713"/>
    <w:rsid w:val="7D8C5E76"/>
    <w:rsid w:val="7DA0352B"/>
    <w:rsid w:val="7DB019FA"/>
    <w:rsid w:val="7DCC7103"/>
    <w:rsid w:val="7DDB2B1D"/>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4EEAAD-FCCC-4F1A-BEF4-2E35B0E9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3.bin"/><Relationship Id="rId63" Type="http://schemas.openxmlformats.org/officeDocument/2006/relationships/oleObject" Target="embeddings/oleObject34.bin"/><Relationship Id="rId68" Type="http://schemas.openxmlformats.org/officeDocument/2006/relationships/oleObject" Target="embeddings/oleObject38.bin"/><Relationship Id="rId84" Type="http://schemas.openxmlformats.org/officeDocument/2006/relationships/oleObject" Target="embeddings/oleObject46.bin"/><Relationship Id="rId89" Type="http://schemas.openxmlformats.org/officeDocument/2006/relationships/oleObject" Target="embeddings/oleObject49.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image" Target="media/image28.wmf"/><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3.wmf"/><Relationship Id="rId95" Type="http://schemas.openxmlformats.org/officeDocument/2006/relationships/oleObject" Target="embeddings/oleObject53.bin"/><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21.bin"/><Relationship Id="rId48" Type="http://schemas.openxmlformats.org/officeDocument/2006/relationships/image" Target="media/image17.wmf"/><Relationship Id="rId64" Type="http://schemas.openxmlformats.org/officeDocument/2006/relationships/oleObject" Target="embeddings/oleObject35.bin"/><Relationship Id="rId69" Type="http://schemas.openxmlformats.org/officeDocument/2006/relationships/image" Target="media/image23.wmf"/><Relationship Id="rId80" Type="http://schemas.openxmlformats.org/officeDocument/2006/relationships/oleObject" Target="embeddings/oleObject44.bin"/><Relationship Id="rId85" Type="http://schemas.openxmlformats.org/officeDocument/2006/relationships/image" Target="media/image31.wmf"/><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image" Target="media/image16.wmf"/><Relationship Id="rId59" Type="http://schemas.openxmlformats.org/officeDocument/2006/relationships/image" Target="media/image20.wmf"/><Relationship Id="rId67" Type="http://schemas.openxmlformats.org/officeDocument/2006/relationships/image" Target="media/image22.wmf"/><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image" Target="media/image21.wmf"/><Relationship Id="rId70" Type="http://schemas.openxmlformats.org/officeDocument/2006/relationships/oleObject" Target="embeddings/oleObject39.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oleObject" Target="embeddings/oleObject48.bin"/><Relationship Id="rId91" Type="http://schemas.openxmlformats.org/officeDocument/2006/relationships/oleObject" Target="embeddings/oleObject50.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30.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media/image15.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image" Target="media/image25.wmf"/><Relationship Id="rId78" Type="http://schemas.openxmlformats.org/officeDocument/2006/relationships/oleObject" Target="embeddings/oleObject43.bin"/><Relationship Id="rId81" Type="http://schemas.openxmlformats.org/officeDocument/2006/relationships/image" Target="media/image29.wmf"/><Relationship Id="rId86" Type="http://schemas.openxmlformats.org/officeDocument/2006/relationships/oleObject" Target="embeddings/oleObject47.bin"/><Relationship Id="rId94" Type="http://schemas.openxmlformats.org/officeDocument/2006/relationships/oleObject" Target="embeddings/oleObject52.bin"/><Relationship Id="rId99" Type="http://schemas.openxmlformats.org/officeDocument/2006/relationships/oleObject" Target="embeddings/oleObject56.bin"/><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2.bin"/><Relationship Id="rId97"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image" Target="media/image9.png"/><Relationship Id="rId24"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image" Target="media/image32.png"/><Relationship Id="rId61" Type="http://schemas.openxmlformats.org/officeDocument/2006/relationships/oleObject" Target="embeddings/oleObject33.bin"/><Relationship Id="rId82" Type="http://schemas.openxmlformats.org/officeDocument/2006/relationships/oleObject" Target="embeddings/oleObject45.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0.png"/><Relationship Id="rId35" Type="http://schemas.openxmlformats.org/officeDocument/2006/relationships/oleObject" Target="embeddings/oleObject16.bin"/><Relationship Id="rId56" Type="http://schemas.openxmlformats.org/officeDocument/2006/relationships/oleObject" Target="embeddings/oleObject29.bin"/><Relationship Id="rId77" Type="http://schemas.openxmlformats.org/officeDocument/2006/relationships/image" Target="media/image27.wmf"/><Relationship Id="rId100"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40.bin"/><Relationship Id="rId93" Type="http://schemas.openxmlformats.org/officeDocument/2006/relationships/image" Target="media/image34.wmf"/><Relationship Id="rId98" Type="http://schemas.openxmlformats.org/officeDocument/2006/relationships/image" Target="media/image35.w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8BA963-EC00-4F00-8855-FB6478FB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7</Pages>
  <Words>2283</Words>
  <Characters>13014</Characters>
  <Application>Microsoft Office Word</Application>
  <DocSecurity>0</DocSecurity>
  <Lines>108</Lines>
  <Paragraphs>30</Paragraphs>
  <ScaleCrop>false</ScaleCrop>
  <Company/>
  <LinksUpToDate>false</LinksUpToDate>
  <CharactersWithSpaces>15267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401</cp:revision>
  <dcterms:created xsi:type="dcterms:W3CDTF">2020-08-05T10:28:00Z</dcterms:created>
  <dcterms:modified xsi:type="dcterms:W3CDTF">2021-04-06T10:54:00Z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